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both"/>
        <w:rPr>
          <w:rFonts w:hint="eastAsia" w:ascii="黑体" w:hAnsi="黑体" w:eastAsia="黑体"/>
          <w:b w:val="0"/>
          <w:bCs/>
          <w:sz w:val="52"/>
          <w:szCs w:val="52"/>
        </w:rPr>
      </w:pPr>
    </w:p>
    <w:p>
      <w:pPr>
        <w:ind w:left="0" w:leftChars="0" w:firstLine="3120" w:firstLineChars="600"/>
        <w:jc w:val="both"/>
        <w:rPr>
          <w:rFonts w:ascii="微软雅黑" w:hAnsi="微软雅黑"/>
          <w:sz w:val="20"/>
        </w:rPr>
      </w:pPr>
      <w:r>
        <w:rPr>
          <w:rFonts w:ascii="微软雅黑" w:hAnsi="微软雅黑"/>
          <w:sz w:val="52"/>
          <w:szCs w:val="52"/>
        </w:rPr>
        <w:pict>
          <v:group id="_x0000_s1026" o:spid="_x0000_s1026" o:spt="203" style="position:absolute;left:0pt;margin-left:4.3pt;margin-top:52.7pt;height:7.75pt;width:445.7pt;z-index:251660288;mso-width-relative:page;mso-height-relative:page;" coordorigin="1770,5130" coordsize="8340,120">
            <o:lock v:ext="edit"/>
            <v:line id="_x0000_s1027" o:spid="_x0000_s1027" o:spt="20" style="position:absolute;left:1770;top:5130;height:0;width:8340;" coordsize="21600,21600">
              <v:path arrowok="t"/>
              <v:fill focussize="0,0"/>
              <v:stroke weight="1.5pt"/>
              <v:imagedata o:title=""/>
              <o:lock v:ext="edit"/>
            </v:line>
            <v:line id="_x0000_s1028" o:spid="_x0000_s1028" o:spt="20" style="position:absolute;left:1770;top:5250;height:0;width:8340;" coordsize="21600,21600">
              <v:path arrowok="t"/>
              <v:fill focussize="0,0"/>
              <v:stroke weight="4.5pt"/>
              <v:imagedata o:title=""/>
              <o:lock v:ext="edit"/>
            </v:line>
          </v:group>
        </w:pict>
      </w:r>
      <w:r>
        <w:rPr>
          <w:rFonts w:hint="eastAsia" w:ascii="黑体" w:hAnsi="黑体" w:eastAsia="黑体"/>
          <w:b w:val="0"/>
          <w:bCs/>
          <w:sz w:val="52"/>
          <w:szCs w:val="52"/>
        </w:rPr>
        <w:t>高值耗材说明书</w:t>
      </w:r>
    </w:p>
    <w:p>
      <w:pPr>
        <w:ind w:left="0" w:leftChars="0" w:firstLine="0" w:firstLineChars="0"/>
        <w:rPr>
          <w:rFonts w:hint="default" w:ascii="微软雅黑" w:hAnsi="微软雅黑" w:eastAsia="微软雅黑"/>
          <w:b w:val="0"/>
          <w:bCs/>
          <w:lang w:val="en-US" w:eastAsia="zh-CN"/>
        </w:rPr>
      </w:pPr>
      <w:r>
        <w:rPr>
          <w:rFonts w:hint="eastAsia" w:ascii="微软雅黑" w:hAnsi="微软雅黑"/>
          <w:b w:val="0"/>
          <w:bCs/>
          <w:lang w:val="en-US" w:eastAsia="zh-CN"/>
        </w:rPr>
        <w:t xml:space="preserve">  </w:t>
      </w:r>
      <w:bookmarkStart w:id="14" w:name="_GoBack"/>
      <w:bookmarkEnd w:id="14"/>
    </w:p>
    <w:p>
      <w:pPr>
        <w:ind w:left="0" w:leftChars="0" w:firstLine="0" w:firstLineChars="0"/>
        <w:rPr>
          <w:rFonts w:hint="default" w:ascii="微软雅黑" w:hAnsi="微软雅黑" w:eastAsia="微软雅黑"/>
          <w:b w:val="0"/>
          <w:bCs/>
          <w:lang w:val="en-US" w:eastAsia="zh-CN"/>
        </w:rPr>
      </w:pPr>
      <w:r>
        <w:rPr>
          <w:rFonts w:hint="eastAsia" w:ascii="微软雅黑" w:hAnsi="微软雅黑"/>
          <w:b w:val="0"/>
          <w:bCs/>
          <w:lang w:val="en-US" w:eastAsia="zh-CN"/>
        </w:rPr>
        <w:t xml:space="preserve">                                          </w:t>
      </w:r>
      <w:r>
        <w:rPr>
          <w:rFonts w:hint="eastAsia" w:ascii="微软雅黑" w:hAnsi="微软雅黑"/>
          <w:b/>
          <w:bCs w:val="0"/>
          <w:lang w:val="en-US" w:eastAsia="zh-CN"/>
        </w:rPr>
        <w:t>目录</w:t>
      </w:r>
    </w:p>
    <w:p>
      <w:pPr>
        <w:pStyle w:val="18"/>
        <w:tabs>
          <w:tab w:val="right" w:leader="dot" w:pos="9900"/>
        </w:tabs>
      </w:pPr>
      <w:r>
        <w:rPr>
          <w:rFonts w:ascii="微软雅黑" w:hAnsi="微软雅黑"/>
          <w:b w:val="0"/>
          <w:bCs/>
        </w:rPr>
        <w:fldChar w:fldCharType="begin"/>
      </w:r>
      <w:r>
        <w:rPr>
          <w:rFonts w:ascii="微软雅黑" w:hAnsi="微软雅黑"/>
          <w:b w:val="0"/>
          <w:bCs/>
        </w:rPr>
        <w:instrText xml:space="preserve">TOC \o "1-3" \h \u </w:instrText>
      </w:r>
      <w:r>
        <w:rPr>
          <w:rFonts w:ascii="微软雅黑" w:hAnsi="微软雅黑"/>
          <w:b w:val="0"/>
          <w:bCs/>
        </w:rPr>
        <w:fldChar w:fldCharType="separate"/>
      </w:r>
      <w:r>
        <w:rPr>
          <w:rFonts w:ascii="微软雅黑" w:hAnsi="微软雅黑"/>
          <w:bCs/>
        </w:rPr>
        <w:fldChar w:fldCharType="begin"/>
      </w:r>
      <w:r>
        <w:rPr>
          <w:rFonts w:ascii="微软雅黑" w:hAnsi="微软雅黑"/>
          <w:bCs/>
        </w:rPr>
        <w:instrText xml:space="preserve"> HYPERLINK \l _Toc30530 </w:instrText>
      </w:r>
      <w:r>
        <w:rPr>
          <w:rFonts w:ascii="微软雅黑" w:hAnsi="微软雅黑"/>
          <w:bCs/>
        </w:rPr>
        <w:fldChar w:fldCharType="separate"/>
      </w:r>
      <w:r>
        <w:rPr>
          <w:rFonts w:hint="eastAsia"/>
        </w:rPr>
        <w:t>1 政策背景</w:t>
      </w:r>
      <w:r>
        <w:tab/>
      </w:r>
      <w:r>
        <w:fldChar w:fldCharType="begin"/>
      </w:r>
      <w:r>
        <w:instrText xml:space="preserve"> PAGEREF _Toc30530 </w:instrText>
      </w:r>
      <w:r>
        <w:fldChar w:fldCharType="separate"/>
      </w:r>
      <w:r>
        <w:t>1</w:t>
      </w:r>
      <w:r>
        <w:fldChar w:fldCharType="end"/>
      </w:r>
      <w:r>
        <w:rPr>
          <w:rFonts w:ascii="微软雅黑" w:hAnsi="微软雅黑"/>
          <w:bCs/>
        </w:rPr>
        <w:fldChar w:fldCharType="end"/>
      </w:r>
    </w:p>
    <w:p>
      <w:pPr>
        <w:pStyle w:val="18"/>
        <w:tabs>
          <w:tab w:val="right" w:leader="dot" w:pos="9900"/>
        </w:tabs>
      </w:pPr>
      <w:r>
        <w:rPr>
          <w:rFonts w:ascii="微软雅黑" w:hAnsi="微软雅黑"/>
          <w:bCs/>
        </w:rPr>
        <w:fldChar w:fldCharType="begin"/>
      </w:r>
      <w:r>
        <w:rPr>
          <w:rFonts w:ascii="微软雅黑" w:hAnsi="微软雅黑"/>
          <w:bCs/>
        </w:rPr>
        <w:instrText xml:space="preserve"> HYPERLINK \l _Toc10765 </w:instrText>
      </w:r>
      <w:r>
        <w:rPr>
          <w:rFonts w:ascii="微软雅黑" w:hAnsi="微软雅黑"/>
          <w:bCs/>
        </w:rPr>
        <w:fldChar w:fldCharType="separate"/>
      </w:r>
      <w:r>
        <w:rPr>
          <w:rFonts w:hint="eastAsia"/>
        </w:rPr>
        <w:t>2 功能介绍</w:t>
      </w:r>
      <w:r>
        <w:tab/>
      </w:r>
      <w:r>
        <w:fldChar w:fldCharType="begin"/>
      </w:r>
      <w:r>
        <w:instrText xml:space="preserve"> PAGEREF _Toc10765 </w:instrText>
      </w:r>
      <w:r>
        <w:fldChar w:fldCharType="separate"/>
      </w:r>
      <w:r>
        <w:t>1</w:t>
      </w:r>
      <w:r>
        <w:fldChar w:fldCharType="end"/>
      </w:r>
      <w:r>
        <w:rPr>
          <w:rFonts w:ascii="微软雅黑" w:hAnsi="微软雅黑"/>
          <w:bCs/>
        </w:rPr>
        <w:fldChar w:fldCharType="end"/>
      </w:r>
    </w:p>
    <w:p>
      <w:pPr>
        <w:pStyle w:val="22"/>
        <w:tabs>
          <w:tab w:val="right" w:leader="dot" w:pos="9900"/>
        </w:tabs>
      </w:pPr>
      <w:r>
        <w:rPr>
          <w:rFonts w:ascii="微软雅黑" w:hAnsi="微软雅黑"/>
          <w:bCs/>
        </w:rPr>
        <w:fldChar w:fldCharType="begin"/>
      </w:r>
      <w:r>
        <w:rPr>
          <w:rFonts w:ascii="微软雅黑" w:hAnsi="微软雅黑"/>
          <w:bCs/>
        </w:rPr>
        <w:instrText xml:space="preserve"> HYPERLINK \l _Toc555 </w:instrText>
      </w:r>
      <w:r>
        <w:rPr>
          <w:rFonts w:ascii="微软雅黑" w:hAnsi="微软雅黑"/>
          <w:bCs/>
        </w:rPr>
        <w:fldChar w:fldCharType="separate"/>
      </w:r>
      <w:r>
        <w:rPr>
          <w:rFonts w:hint="eastAsia"/>
          <w:bCs w:val="0"/>
        </w:rPr>
        <w:t xml:space="preserve">2.1 </w:t>
      </w:r>
      <w:r>
        <w:rPr>
          <w:rFonts w:hint="eastAsia"/>
          <w:lang w:val="en-US" w:eastAsia="zh-CN"/>
        </w:rPr>
        <w:t>材料物资管理</w:t>
      </w:r>
      <w:r>
        <w:tab/>
      </w:r>
      <w:r>
        <w:fldChar w:fldCharType="begin"/>
      </w:r>
      <w:r>
        <w:instrText xml:space="preserve"> PAGEREF _Toc555 </w:instrText>
      </w:r>
      <w:r>
        <w:fldChar w:fldCharType="separate"/>
      </w:r>
      <w:r>
        <w:t>1</w:t>
      </w:r>
      <w:r>
        <w:fldChar w:fldCharType="end"/>
      </w:r>
      <w:r>
        <w:rPr>
          <w:rFonts w:ascii="微软雅黑" w:hAnsi="微软雅黑"/>
          <w:bCs/>
        </w:rPr>
        <w:fldChar w:fldCharType="end"/>
      </w:r>
    </w:p>
    <w:p>
      <w:pPr>
        <w:pStyle w:val="22"/>
        <w:tabs>
          <w:tab w:val="right" w:leader="dot" w:pos="9900"/>
        </w:tabs>
      </w:pPr>
      <w:r>
        <w:rPr>
          <w:rFonts w:ascii="微软雅黑" w:hAnsi="微软雅黑"/>
          <w:bCs/>
        </w:rPr>
        <w:fldChar w:fldCharType="begin"/>
      </w:r>
      <w:r>
        <w:rPr>
          <w:rFonts w:ascii="微软雅黑" w:hAnsi="微软雅黑"/>
          <w:bCs/>
        </w:rPr>
        <w:instrText xml:space="preserve"> HYPERLINK \l _Toc20352 </w:instrText>
      </w:r>
      <w:r>
        <w:rPr>
          <w:rFonts w:ascii="微软雅黑" w:hAnsi="微软雅黑"/>
          <w:bCs/>
        </w:rPr>
        <w:fldChar w:fldCharType="separate"/>
      </w:r>
      <w:r>
        <w:rPr>
          <w:rFonts w:hint="eastAsia"/>
          <w:bCs w:val="0"/>
        </w:rPr>
        <w:t xml:space="preserve">2.2 </w:t>
      </w:r>
      <w:r>
        <w:rPr>
          <w:rFonts w:hint="eastAsia"/>
          <w:lang w:val="en-US" w:eastAsia="zh-CN"/>
        </w:rPr>
        <w:t>病人材料发送</w:t>
      </w:r>
      <w:r>
        <w:tab/>
      </w:r>
      <w:r>
        <w:fldChar w:fldCharType="begin"/>
      </w:r>
      <w:r>
        <w:instrText xml:space="preserve"> PAGEREF _Toc20352 </w:instrText>
      </w:r>
      <w:r>
        <w:fldChar w:fldCharType="separate"/>
      </w:r>
      <w:r>
        <w:t>7</w:t>
      </w:r>
      <w:r>
        <w:fldChar w:fldCharType="end"/>
      </w:r>
      <w:r>
        <w:rPr>
          <w:rFonts w:ascii="微软雅黑" w:hAnsi="微软雅黑"/>
          <w:bCs/>
        </w:rPr>
        <w:fldChar w:fldCharType="end"/>
      </w:r>
    </w:p>
    <w:p>
      <w:pPr>
        <w:pStyle w:val="22"/>
        <w:tabs>
          <w:tab w:val="right" w:leader="dot" w:pos="9900"/>
        </w:tabs>
      </w:pPr>
      <w:r>
        <w:rPr>
          <w:rFonts w:ascii="微软雅黑" w:hAnsi="微软雅黑"/>
          <w:bCs/>
        </w:rPr>
        <w:fldChar w:fldCharType="begin"/>
      </w:r>
      <w:r>
        <w:rPr>
          <w:rFonts w:ascii="微软雅黑" w:hAnsi="微软雅黑"/>
          <w:bCs/>
        </w:rPr>
        <w:instrText xml:space="preserve"> HYPERLINK \l _Toc12516 </w:instrText>
      </w:r>
      <w:r>
        <w:rPr>
          <w:rFonts w:ascii="微软雅黑" w:hAnsi="微软雅黑"/>
          <w:bCs/>
        </w:rPr>
        <w:fldChar w:fldCharType="separate"/>
      </w:r>
      <w:r>
        <w:rPr>
          <w:rFonts w:hint="eastAsia"/>
          <w:bCs w:val="0"/>
        </w:rPr>
        <w:t xml:space="preserve">2.3 </w:t>
      </w:r>
      <w:r>
        <w:rPr>
          <w:rFonts w:hint="eastAsia"/>
          <w:lang w:val="en-US" w:eastAsia="zh-CN"/>
        </w:rPr>
        <w:t>卫材业务单据</w:t>
      </w:r>
      <w:r>
        <w:tab/>
      </w:r>
      <w:r>
        <w:fldChar w:fldCharType="begin"/>
      </w:r>
      <w:r>
        <w:instrText xml:space="preserve"> PAGEREF _Toc12516 </w:instrText>
      </w:r>
      <w:r>
        <w:fldChar w:fldCharType="separate"/>
      </w:r>
      <w:r>
        <w:t>8</w:t>
      </w:r>
      <w:r>
        <w:fldChar w:fldCharType="end"/>
      </w:r>
      <w:r>
        <w:rPr>
          <w:rFonts w:ascii="微软雅黑" w:hAnsi="微软雅黑"/>
          <w:bCs/>
        </w:rPr>
        <w:fldChar w:fldCharType="end"/>
      </w:r>
    </w:p>
    <w:p>
      <w:pPr>
        <w:pStyle w:val="12"/>
        <w:tabs>
          <w:tab w:val="right" w:leader="dot" w:pos="9900"/>
          <w:tab w:val="clear" w:pos="1050"/>
          <w:tab w:val="clear" w:pos="10338"/>
        </w:tabs>
      </w:pPr>
      <w:r>
        <w:rPr>
          <w:rFonts w:ascii="微软雅黑" w:hAnsi="微软雅黑"/>
          <w:bCs/>
        </w:rPr>
        <w:fldChar w:fldCharType="begin"/>
      </w:r>
      <w:r>
        <w:rPr>
          <w:rFonts w:ascii="微软雅黑" w:hAnsi="微软雅黑"/>
          <w:bCs/>
        </w:rPr>
        <w:instrText xml:space="preserve"> HYPERLINK \l _Toc4422 </w:instrText>
      </w:r>
      <w:r>
        <w:rPr>
          <w:rFonts w:ascii="微软雅黑" w:hAnsi="微软雅黑"/>
          <w:bCs/>
        </w:rPr>
        <w:fldChar w:fldCharType="separate"/>
      </w:r>
      <w:r>
        <w:rPr>
          <w:rFonts w:hint="eastAsia" w:ascii="微软雅黑" w:hAnsi="微软雅黑" w:eastAsia="微软雅黑" w:cs="微软雅黑"/>
          <w:bCs/>
          <w:szCs w:val="24"/>
          <w:lang w:val="en-US" w:eastAsia="zh-CN"/>
        </w:rPr>
        <w:t>2.3.</w:t>
      </w:r>
      <w:r>
        <w:rPr>
          <w:rFonts w:hint="eastAsia" w:ascii="微软雅黑" w:hAnsi="微软雅黑" w:cs="微软雅黑"/>
          <w:bCs/>
          <w:szCs w:val="24"/>
          <w:lang w:val="en-US" w:eastAsia="zh-CN"/>
        </w:rPr>
        <w:t>1科室卫材入库</w:t>
      </w:r>
      <w:r>
        <w:rPr>
          <w:rFonts w:hint="eastAsia" w:ascii="微软雅黑" w:hAnsi="微软雅黑" w:eastAsia="微软雅黑" w:cs="微软雅黑"/>
          <w:bCs/>
          <w:szCs w:val="24"/>
          <w:lang w:val="en-US" w:eastAsia="zh-CN"/>
        </w:rPr>
        <w:t>单</w:t>
      </w:r>
      <w:r>
        <w:tab/>
      </w:r>
      <w:r>
        <w:fldChar w:fldCharType="begin"/>
      </w:r>
      <w:r>
        <w:instrText xml:space="preserve"> PAGEREF _Toc4422 </w:instrText>
      </w:r>
      <w:r>
        <w:fldChar w:fldCharType="separate"/>
      </w:r>
      <w:r>
        <w:t>8</w:t>
      </w:r>
      <w:r>
        <w:fldChar w:fldCharType="end"/>
      </w:r>
      <w:r>
        <w:rPr>
          <w:rFonts w:ascii="微软雅黑" w:hAnsi="微软雅黑"/>
          <w:bCs/>
        </w:rPr>
        <w:fldChar w:fldCharType="end"/>
      </w:r>
    </w:p>
    <w:p>
      <w:pPr>
        <w:pStyle w:val="12"/>
        <w:tabs>
          <w:tab w:val="right" w:leader="dot" w:pos="9900"/>
          <w:tab w:val="clear" w:pos="1050"/>
          <w:tab w:val="clear" w:pos="10338"/>
        </w:tabs>
      </w:pPr>
      <w:r>
        <w:rPr>
          <w:rFonts w:ascii="微软雅黑" w:hAnsi="微软雅黑"/>
          <w:bCs/>
        </w:rPr>
        <w:fldChar w:fldCharType="begin"/>
      </w:r>
      <w:r>
        <w:rPr>
          <w:rFonts w:ascii="微软雅黑" w:hAnsi="微软雅黑"/>
          <w:bCs/>
        </w:rPr>
        <w:instrText xml:space="preserve"> HYPERLINK \l _Toc98 </w:instrText>
      </w:r>
      <w:r>
        <w:rPr>
          <w:rFonts w:ascii="微软雅黑" w:hAnsi="微软雅黑"/>
          <w:bCs/>
        </w:rPr>
        <w:fldChar w:fldCharType="separate"/>
      </w:r>
      <w:r>
        <w:rPr>
          <w:rFonts w:hint="eastAsia" w:ascii="微软雅黑" w:hAnsi="微软雅黑" w:eastAsia="微软雅黑" w:cs="微软雅黑"/>
          <w:bCs/>
          <w:szCs w:val="24"/>
          <w:lang w:val="en-US" w:eastAsia="zh-CN"/>
        </w:rPr>
        <w:t>2.3.</w:t>
      </w:r>
      <w:r>
        <w:rPr>
          <w:rFonts w:hint="eastAsia" w:ascii="微软雅黑" w:hAnsi="微软雅黑" w:cs="微软雅黑"/>
          <w:bCs/>
          <w:szCs w:val="24"/>
          <w:lang w:val="en-US" w:eastAsia="zh-CN"/>
        </w:rPr>
        <w:t>2科室卫材出库</w:t>
      </w:r>
      <w:r>
        <w:rPr>
          <w:rFonts w:hint="eastAsia" w:ascii="微软雅黑" w:hAnsi="微软雅黑" w:eastAsia="微软雅黑" w:cs="微软雅黑"/>
          <w:bCs/>
          <w:szCs w:val="24"/>
          <w:lang w:val="en-US" w:eastAsia="zh-CN"/>
        </w:rPr>
        <w:t>单</w:t>
      </w:r>
      <w:r>
        <w:tab/>
      </w:r>
      <w:r>
        <w:fldChar w:fldCharType="begin"/>
      </w:r>
      <w:r>
        <w:instrText xml:space="preserve"> PAGEREF _Toc98 </w:instrText>
      </w:r>
      <w:r>
        <w:fldChar w:fldCharType="separate"/>
      </w:r>
      <w:r>
        <w:t>8</w:t>
      </w:r>
      <w:r>
        <w:fldChar w:fldCharType="end"/>
      </w:r>
      <w:r>
        <w:rPr>
          <w:rFonts w:ascii="微软雅黑" w:hAnsi="微软雅黑"/>
          <w:bCs/>
        </w:rPr>
        <w:fldChar w:fldCharType="end"/>
      </w:r>
    </w:p>
    <w:p>
      <w:pPr>
        <w:pStyle w:val="12"/>
        <w:tabs>
          <w:tab w:val="right" w:leader="dot" w:pos="9900"/>
          <w:tab w:val="clear" w:pos="1050"/>
          <w:tab w:val="clear" w:pos="10338"/>
        </w:tabs>
      </w:pPr>
      <w:r>
        <w:rPr>
          <w:rFonts w:ascii="微软雅黑" w:hAnsi="微软雅黑"/>
          <w:bCs/>
        </w:rPr>
        <w:fldChar w:fldCharType="begin"/>
      </w:r>
      <w:r>
        <w:rPr>
          <w:rFonts w:ascii="微软雅黑" w:hAnsi="微软雅黑"/>
          <w:bCs/>
        </w:rPr>
        <w:instrText xml:space="preserve"> HYPERLINK \l _Toc26740 </w:instrText>
      </w:r>
      <w:r>
        <w:rPr>
          <w:rFonts w:ascii="微软雅黑" w:hAnsi="微软雅黑"/>
          <w:bCs/>
        </w:rPr>
        <w:fldChar w:fldCharType="separate"/>
      </w:r>
      <w:r>
        <w:rPr>
          <w:rFonts w:hint="eastAsia" w:ascii="微软雅黑" w:hAnsi="微软雅黑" w:eastAsia="微软雅黑" w:cs="微软雅黑"/>
          <w:bCs/>
          <w:szCs w:val="24"/>
          <w:lang w:val="en-US" w:eastAsia="zh-CN"/>
        </w:rPr>
        <w:t>2.3.</w:t>
      </w:r>
      <w:r>
        <w:rPr>
          <w:rFonts w:hint="eastAsia" w:ascii="微软雅黑" w:hAnsi="微软雅黑" w:cs="微软雅黑"/>
          <w:bCs/>
          <w:szCs w:val="24"/>
          <w:lang w:val="en-US" w:eastAsia="zh-CN"/>
        </w:rPr>
        <w:t>3科室卫材请领单</w:t>
      </w:r>
      <w:r>
        <w:tab/>
      </w:r>
      <w:r>
        <w:fldChar w:fldCharType="begin"/>
      </w:r>
      <w:r>
        <w:instrText xml:space="preserve"> PAGEREF _Toc26740 </w:instrText>
      </w:r>
      <w:r>
        <w:fldChar w:fldCharType="separate"/>
      </w:r>
      <w:r>
        <w:t>9</w:t>
      </w:r>
      <w:r>
        <w:fldChar w:fldCharType="end"/>
      </w:r>
      <w:r>
        <w:rPr>
          <w:rFonts w:ascii="微软雅黑" w:hAnsi="微软雅黑"/>
          <w:bCs/>
        </w:rPr>
        <w:fldChar w:fldCharType="end"/>
      </w:r>
    </w:p>
    <w:p>
      <w:pPr>
        <w:pStyle w:val="12"/>
        <w:tabs>
          <w:tab w:val="right" w:leader="dot" w:pos="9900"/>
          <w:tab w:val="clear" w:pos="1050"/>
          <w:tab w:val="clear" w:pos="10338"/>
        </w:tabs>
      </w:pPr>
      <w:r>
        <w:rPr>
          <w:rFonts w:ascii="微软雅黑" w:hAnsi="微软雅黑"/>
          <w:bCs/>
        </w:rPr>
        <w:fldChar w:fldCharType="begin"/>
      </w:r>
      <w:r>
        <w:rPr>
          <w:rFonts w:ascii="微软雅黑" w:hAnsi="微软雅黑"/>
          <w:bCs/>
        </w:rPr>
        <w:instrText xml:space="preserve"> HYPERLINK \l _Toc7552 </w:instrText>
      </w:r>
      <w:r>
        <w:rPr>
          <w:rFonts w:ascii="微软雅黑" w:hAnsi="微软雅黑"/>
          <w:bCs/>
        </w:rPr>
        <w:fldChar w:fldCharType="separate"/>
      </w:r>
      <w:r>
        <w:rPr>
          <w:rFonts w:hint="eastAsia" w:ascii="微软雅黑" w:hAnsi="微软雅黑" w:eastAsia="微软雅黑" w:cs="微软雅黑"/>
          <w:bCs/>
          <w:szCs w:val="24"/>
          <w:lang w:val="en-US" w:eastAsia="zh-CN"/>
        </w:rPr>
        <w:t>2.3.</w:t>
      </w:r>
      <w:r>
        <w:rPr>
          <w:rFonts w:hint="eastAsia" w:ascii="微软雅黑" w:hAnsi="微软雅黑" w:cs="微软雅黑"/>
          <w:bCs/>
          <w:szCs w:val="24"/>
          <w:lang w:val="en-US" w:eastAsia="zh-CN"/>
        </w:rPr>
        <w:t>4科室卫材退货单</w:t>
      </w:r>
      <w:r>
        <w:tab/>
      </w:r>
      <w:r>
        <w:fldChar w:fldCharType="begin"/>
      </w:r>
      <w:r>
        <w:instrText xml:space="preserve"> PAGEREF _Toc7552 </w:instrText>
      </w:r>
      <w:r>
        <w:fldChar w:fldCharType="separate"/>
      </w:r>
      <w:r>
        <w:t>9</w:t>
      </w:r>
      <w:r>
        <w:fldChar w:fldCharType="end"/>
      </w:r>
      <w:r>
        <w:rPr>
          <w:rFonts w:ascii="微软雅黑" w:hAnsi="微软雅黑"/>
          <w:bCs/>
        </w:rPr>
        <w:fldChar w:fldCharType="end"/>
      </w:r>
    </w:p>
    <w:p>
      <w:pPr>
        <w:pStyle w:val="12"/>
        <w:tabs>
          <w:tab w:val="right" w:leader="dot" w:pos="9900"/>
          <w:tab w:val="clear" w:pos="1050"/>
          <w:tab w:val="clear" w:pos="10338"/>
        </w:tabs>
      </w:pPr>
      <w:r>
        <w:rPr>
          <w:rFonts w:ascii="微软雅黑" w:hAnsi="微软雅黑"/>
          <w:bCs/>
        </w:rPr>
        <w:fldChar w:fldCharType="begin"/>
      </w:r>
      <w:r>
        <w:rPr>
          <w:rFonts w:ascii="微软雅黑" w:hAnsi="微软雅黑"/>
          <w:bCs/>
        </w:rPr>
        <w:instrText xml:space="preserve"> HYPERLINK \l _Toc20038 </w:instrText>
      </w:r>
      <w:r>
        <w:rPr>
          <w:rFonts w:ascii="微软雅黑" w:hAnsi="微软雅黑"/>
          <w:bCs/>
        </w:rPr>
        <w:fldChar w:fldCharType="separate"/>
      </w:r>
      <w:r>
        <w:rPr>
          <w:rFonts w:hint="eastAsia" w:ascii="微软雅黑" w:hAnsi="微软雅黑" w:eastAsia="微软雅黑" w:cs="微软雅黑"/>
          <w:bCs/>
          <w:szCs w:val="24"/>
          <w:lang w:val="en-US" w:eastAsia="zh-CN"/>
        </w:rPr>
        <w:t>2.3.</w:t>
      </w:r>
      <w:r>
        <w:rPr>
          <w:rFonts w:hint="eastAsia" w:ascii="微软雅黑" w:hAnsi="微软雅黑" w:cs="微软雅黑"/>
          <w:bCs/>
          <w:szCs w:val="24"/>
          <w:lang w:val="en-US" w:eastAsia="zh-CN"/>
        </w:rPr>
        <w:t>5科室卫材调入单</w:t>
      </w:r>
      <w:r>
        <w:tab/>
      </w:r>
      <w:r>
        <w:fldChar w:fldCharType="begin"/>
      </w:r>
      <w:r>
        <w:instrText xml:space="preserve"> PAGEREF _Toc20038 </w:instrText>
      </w:r>
      <w:r>
        <w:fldChar w:fldCharType="separate"/>
      </w:r>
      <w:r>
        <w:t>10</w:t>
      </w:r>
      <w:r>
        <w:fldChar w:fldCharType="end"/>
      </w:r>
      <w:r>
        <w:rPr>
          <w:rFonts w:ascii="微软雅黑" w:hAnsi="微软雅黑"/>
          <w:bCs/>
        </w:rPr>
        <w:fldChar w:fldCharType="end"/>
      </w:r>
    </w:p>
    <w:p>
      <w:pPr>
        <w:pStyle w:val="12"/>
        <w:tabs>
          <w:tab w:val="right" w:leader="dot" w:pos="9900"/>
          <w:tab w:val="clear" w:pos="1050"/>
          <w:tab w:val="clear" w:pos="10338"/>
        </w:tabs>
      </w:pPr>
      <w:r>
        <w:rPr>
          <w:rFonts w:ascii="微软雅黑" w:hAnsi="微软雅黑"/>
          <w:bCs/>
        </w:rPr>
        <w:fldChar w:fldCharType="begin"/>
      </w:r>
      <w:r>
        <w:rPr>
          <w:rFonts w:ascii="微软雅黑" w:hAnsi="微软雅黑"/>
          <w:bCs/>
        </w:rPr>
        <w:instrText xml:space="preserve"> HYPERLINK \l _Toc17702 </w:instrText>
      </w:r>
      <w:r>
        <w:rPr>
          <w:rFonts w:ascii="微软雅黑" w:hAnsi="微软雅黑"/>
          <w:bCs/>
        </w:rPr>
        <w:fldChar w:fldCharType="separate"/>
      </w:r>
      <w:r>
        <w:rPr>
          <w:rFonts w:hint="eastAsia" w:ascii="微软雅黑" w:hAnsi="微软雅黑" w:eastAsia="微软雅黑" w:cs="微软雅黑"/>
          <w:bCs/>
          <w:szCs w:val="24"/>
          <w:lang w:val="en-US" w:eastAsia="zh-CN"/>
        </w:rPr>
        <w:t>2.3.</w:t>
      </w:r>
      <w:r>
        <w:rPr>
          <w:rFonts w:hint="eastAsia" w:ascii="微软雅黑" w:hAnsi="微软雅黑" w:cs="微软雅黑"/>
          <w:bCs/>
          <w:szCs w:val="24"/>
          <w:lang w:val="en-US" w:eastAsia="zh-CN"/>
        </w:rPr>
        <w:t>6科室卫材调出单</w:t>
      </w:r>
      <w:r>
        <w:tab/>
      </w:r>
      <w:r>
        <w:fldChar w:fldCharType="begin"/>
      </w:r>
      <w:r>
        <w:instrText xml:space="preserve"> PAGEREF _Toc17702 </w:instrText>
      </w:r>
      <w:r>
        <w:fldChar w:fldCharType="separate"/>
      </w:r>
      <w:r>
        <w:t>11</w:t>
      </w:r>
      <w:r>
        <w:fldChar w:fldCharType="end"/>
      </w:r>
      <w:r>
        <w:rPr>
          <w:rFonts w:ascii="微软雅黑" w:hAnsi="微软雅黑"/>
          <w:bCs/>
        </w:rPr>
        <w:fldChar w:fldCharType="end"/>
      </w:r>
    </w:p>
    <w:p>
      <w:pPr>
        <w:pStyle w:val="12"/>
        <w:tabs>
          <w:tab w:val="right" w:leader="dot" w:pos="9900"/>
          <w:tab w:val="clear" w:pos="1050"/>
          <w:tab w:val="clear" w:pos="10338"/>
        </w:tabs>
      </w:pPr>
      <w:r>
        <w:rPr>
          <w:rFonts w:ascii="微软雅黑" w:hAnsi="微软雅黑"/>
          <w:bCs/>
        </w:rPr>
        <w:fldChar w:fldCharType="begin"/>
      </w:r>
      <w:r>
        <w:rPr>
          <w:rFonts w:ascii="微软雅黑" w:hAnsi="微软雅黑"/>
          <w:bCs/>
        </w:rPr>
        <w:instrText xml:space="preserve"> HYPERLINK \l _Toc6685 </w:instrText>
      </w:r>
      <w:r>
        <w:rPr>
          <w:rFonts w:ascii="微软雅黑" w:hAnsi="微软雅黑"/>
          <w:bCs/>
        </w:rPr>
        <w:fldChar w:fldCharType="separate"/>
      </w:r>
      <w:r>
        <w:rPr>
          <w:rFonts w:hint="eastAsia" w:ascii="微软雅黑" w:hAnsi="微软雅黑" w:eastAsia="微软雅黑" w:cs="微软雅黑"/>
          <w:bCs/>
          <w:szCs w:val="24"/>
          <w:lang w:val="en-US" w:eastAsia="zh-CN"/>
        </w:rPr>
        <w:t>2.3.</w:t>
      </w:r>
      <w:r>
        <w:rPr>
          <w:rFonts w:hint="eastAsia" w:ascii="微软雅黑" w:hAnsi="微软雅黑" w:cs="微软雅黑"/>
          <w:bCs/>
          <w:szCs w:val="24"/>
          <w:lang w:val="en-US" w:eastAsia="zh-CN"/>
        </w:rPr>
        <w:t>7高值耗材日志追踪</w:t>
      </w:r>
      <w:r>
        <w:tab/>
      </w:r>
      <w:r>
        <w:fldChar w:fldCharType="begin"/>
      </w:r>
      <w:r>
        <w:instrText xml:space="preserve"> PAGEREF _Toc6685 </w:instrText>
      </w:r>
      <w:r>
        <w:fldChar w:fldCharType="separate"/>
      </w:r>
      <w:r>
        <w:t>11</w:t>
      </w:r>
      <w:r>
        <w:fldChar w:fldCharType="end"/>
      </w:r>
      <w:r>
        <w:rPr>
          <w:rFonts w:ascii="微软雅黑" w:hAnsi="微软雅黑"/>
          <w:bCs/>
        </w:rPr>
        <w:fldChar w:fldCharType="end"/>
      </w:r>
    </w:p>
    <w:p>
      <w:pPr>
        <w:pStyle w:val="22"/>
        <w:tabs>
          <w:tab w:val="right" w:leader="dot" w:pos="9900"/>
        </w:tabs>
      </w:pPr>
      <w:r>
        <w:rPr>
          <w:rFonts w:ascii="微软雅黑" w:hAnsi="微软雅黑"/>
          <w:bCs/>
        </w:rPr>
        <w:fldChar w:fldCharType="begin"/>
      </w:r>
      <w:r>
        <w:rPr>
          <w:rFonts w:ascii="微软雅黑" w:hAnsi="微软雅黑"/>
          <w:bCs/>
        </w:rPr>
        <w:instrText xml:space="preserve"> HYPERLINK \l _Toc12007 </w:instrText>
      </w:r>
      <w:r>
        <w:rPr>
          <w:rFonts w:ascii="微软雅黑" w:hAnsi="微软雅黑"/>
          <w:bCs/>
        </w:rPr>
        <w:fldChar w:fldCharType="separate"/>
      </w:r>
      <w:r>
        <w:rPr>
          <w:rFonts w:hint="eastAsia"/>
          <w:bCs w:val="0"/>
        </w:rPr>
        <w:t xml:space="preserve">2.4 </w:t>
      </w:r>
      <w:r>
        <w:rPr>
          <w:rFonts w:hint="eastAsia"/>
          <w:lang w:val="en-US" w:eastAsia="zh-CN"/>
        </w:rPr>
        <w:t>高值耗材追溯</w:t>
      </w:r>
      <w:r>
        <w:tab/>
      </w:r>
      <w:r>
        <w:fldChar w:fldCharType="begin"/>
      </w:r>
      <w:r>
        <w:instrText xml:space="preserve"> PAGEREF _Toc12007 </w:instrText>
      </w:r>
      <w:r>
        <w:fldChar w:fldCharType="separate"/>
      </w:r>
      <w:r>
        <w:t>14</w:t>
      </w:r>
      <w:r>
        <w:fldChar w:fldCharType="end"/>
      </w:r>
      <w:r>
        <w:rPr>
          <w:rFonts w:ascii="微软雅黑" w:hAnsi="微软雅黑"/>
          <w:bCs/>
        </w:rPr>
        <w:fldChar w:fldCharType="end"/>
      </w:r>
    </w:p>
    <w:p>
      <w:pPr>
        <w:pStyle w:val="18"/>
        <w:tabs>
          <w:tab w:val="right" w:leader="dot" w:pos="9900"/>
        </w:tabs>
      </w:pPr>
      <w:r>
        <w:rPr>
          <w:rFonts w:ascii="微软雅黑" w:hAnsi="微软雅黑"/>
          <w:bCs/>
        </w:rPr>
        <w:fldChar w:fldCharType="begin"/>
      </w:r>
      <w:r>
        <w:rPr>
          <w:rFonts w:ascii="微软雅黑" w:hAnsi="微软雅黑"/>
          <w:bCs/>
        </w:rPr>
        <w:instrText xml:space="preserve"> HYPERLINK \l _Toc13354 </w:instrText>
      </w:r>
      <w:r>
        <w:rPr>
          <w:rFonts w:ascii="微软雅黑" w:hAnsi="微软雅黑"/>
          <w:bCs/>
        </w:rPr>
        <w:fldChar w:fldCharType="separate"/>
      </w:r>
      <w:r>
        <w:rPr>
          <w:rFonts w:hint="eastAsia"/>
        </w:rPr>
        <w:t xml:space="preserve">3 </w:t>
      </w:r>
      <w:r>
        <w:rPr>
          <w:rFonts w:hint="eastAsia"/>
          <w:lang w:val="en-US" w:eastAsia="zh-CN"/>
        </w:rPr>
        <w:t>业务流程</w:t>
      </w:r>
      <w:r>
        <w:tab/>
      </w:r>
      <w:r>
        <w:fldChar w:fldCharType="begin"/>
      </w:r>
      <w:r>
        <w:instrText xml:space="preserve"> PAGEREF _Toc13354 </w:instrText>
      </w:r>
      <w:r>
        <w:fldChar w:fldCharType="separate"/>
      </w:r>
      <w:r>
        <w:t>15</w:t>
      </w:r>
      <w:r>
        <w:fldChar w:fldCharType="end"/>
      </w:r>
      <w:r>
        <w:rPr>
          <w:rFonts w:ascii="微软雅黑" w:hAnsi="微软雅黑"/>
          <w:bCs/>
        </w:rPr>
        <w:fldChar w:fldCharType="end"/>
      </w:r>
    </w:p>
    <w:p>
      <w:pPr>
        <w:ind w:left="0" w:leftChars="0" w:firstLine="0" w:firstLineChars="0"/>
        <w:outlineLvl w:val="0"/>
        <w:rPr>
          <w:rFonts w:ascii="微软雅黑" w:hAnsi="微软雅黑"/>
          <w:b w:val="0"/>
          <w:bCs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7" w:h="16840"/>
          <w:pgMar w:top="720" w:right="720" w:bottom="720" w:left="720" w:header="340" w:footer="113" w:gutter="567"/>
          <w:cols w:space="720" w:num="1"/>
          <w:titlePg/>
          <w:docGrid w:type="lines" w:linePitch="312" w:charSpace="0"/>
        </w:sectPr>
      </w:pPr>
      <w:r>
        <w:rPr>
          <w:rFonts w:ascii="微软雅黑" w:hAnsi="微软雅黑"/>
          <w:bCs/>
        </w:rPr>
        <w:fldChar w:fldCharType="end"/>
      </w:r>
    </w:p>
    <w:p>
      <w:pPr>
        <w:pStyle w:val="2"/>
        <w:outlineLvl w:val="0"/>
      </w:pPr>
      <w:bookmarkStart w:id="0" w:name="_Toc30530"/>
      <w:r>
        <w:rPr>
          <w:rFonts w:hint="eastAsia"/>
        </w:rPr>
        <w:t>政策背景</w:t>
      </w:r>
      <w:bookmarkEnd w:id="0"/>
    </w:p>
    <w:p>
      <w:pPr>
        <w:ind w:left="440" w:leftChars="200" w:firstLine="0" w:firstLineChars="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为了提高医疗材料的使用效率、有效地降低设备无为增值、减值、维修、保养成本，降低卫生材料的不良消耗，确保医疗安全和医疗工作的正常秩序，根据国家有关法律，法规和政策《医疗器械临床使用安全管理规范（试行）》结合医院实际情况，制定医疗设备、器械及卫材使用的管理制度。</w:t>
      </w:r>
    </w:p>
    <w:p/>
    <w:p>
      <w:pPr>
        <w:pStyle w:val="2"/>
        <w:outlineLvl w:val="0"/>
      </w:pPr>
      <w:bookmarkStart w:id="1" w:name="_Toc10765"/>
      <w:r>
        <w:rPr>
          <w:rFonts w:hint="eastAsia"/>
        </w:rPr>
        <w:t>功能介绍</w:t>
      </w:r>
      <w:bookmarkEnd w:id="1"/>
    </w:p>
    <w:p>
      <w:pPr>
        <w:pStyle w:val="3"/>
        <w:outlineLvl w:val="1"/>
      </w:pPr>
      <w:bookmarkStart w:id="2" w:name="_Toc555"/>
      <w:r>
        <w:rPr>
          <w:rFonts w:hint="eastAsia"/>
          <w:lang w:val="en-US" w:eastAsia="zh-CN"/>
        </w:rPr>
        <w:t>材料物资管理</w:t>
      </w:r>
      <w:bookmarkEnd w:id="2"/>
    </w:p>
    <w:p>
      <w:pPr>
        <w:ind w:firstLine="440"/>
      </w:pPr>
      <w:r>
        <w:rPr>
          <w:rFonts w:hint="eastAsia"/>
        </w:rPr>
        <w:t>功能介绍：</w:t>
      </w:r>
    </w:p>
    <w:p>
      <w:pPr>
        <w:numPr>
          <w:ilvl w:val="0"/>
          <w:numId w:val="5"/>
        </w:numPr>
        <w:ind w:left="720" w:leftChars="218" w:hanging="240" w:hangingChars="10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新增品种：业务—基础管理---材料物资管理--- 方法同新增药品类似，选择最小的分类，点击材料品种，新增品种，填写对应信息 </w:t>
      </w:r>
    </w:p>
    <w:p>
      <w:pPr>
        <w:numPr>
          <w:ilvl w:val="0"/>
          <w:numId w:val="5"/>
        </w:numPr>
        <w:ind w:left="720" w:leftChars="218" w:hanging="240" w:hangingChars="10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新增规格：业务—基础管理---材料物资管理--- 选择刚才新建的卫材品种，点击材料规格，新增规格</w:t>
      </w:r>
    </w:p>
    <w:p>
      <w:pPr>
        <w:numPr>
          <w:ilvl w:val="0"/>
          <w:numId w:val="5"/>
        </w:numPr>
        <w:ind w:left="720" w:leftChars="218" w:hanging="240" w:hangingChars="100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（首次添加规格一定要新增不能编辑，否则报：灾难性异常的错误）如果该卫材需要在医生工作站由医生开医嘱开出，就要在价格信息编辑页面， 勾选“临床应用”，医生不开医嘱，就不用勾选</w:t>
      </w:r>
    </w:p>
    <w:p>
      <w:pPr>
        <w:numPr>
          <w:ilvl w:val="0"/>
          <w:numId w:val="5"/>
        </w:numPr>
        <w:ind w:left="720" w:leftChars="218" w:hanging="240" w:hangingChars="100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选择弹出的执行科室（这步必须操作，不然进货单上找不到新加的物资材料品种，需要请领的科室也搜不出来）</w:t>
      </w:r>
    </w:p>
    <w:p/>
    <w:p>
      <w:pPr>
        <w:ind w:firstLine="440"/>
        <w:rPr>
          <w:rFonts w:hint="eastAsia"/>
          <w:lang w:eastAsia="zh-CN"/>
        </w:rPr>
      </w:pPr>
      <w:r>
        <w:rPr>
          <w:rFonts w:hint="eastAsia"/>
        </w:rPr>
        <w:t>特殊说明</w:t>
      </w:r>
      <w:r>
        <w:rPr>
          <w:rFonts w:hint="eastAsia"/>
          <w:lang w:eastAsia="zh-CN"/>
        </w:rPr>
        <w:t>：</w:t>
      </w:r>
    </w:p>
    <w:p>
      <w:pPr>
        <w:widowControl/>
        <w:spacing w:before="100" w:beforeAutospacing="1" w:after="100" w:afterAutospacing="1"/>
        <w:ind w:left="440" w:leftChars="200" w:firstLine="0" w:firstLineChars="0"/>
        <w:jc w:val="left"/>
        <w:rPr>
          <w:rFonts w:hint="eastAsia" w:ascii="微软雅黑" w:hAnsi="微软雅黑" w:eastAsia="微软雅黑" w:cs="微软雅黑"/>
          <w:kern w:val="0"/>
          <w:sz w:val="22"/>
          <w:szCs w:val="22"/>
        </w:rPr>
      </w:pPr>
      <w:r>
        <w:rPr>
          <w:rFonts w:hint="eastAsia" w:ascii="微软雅黑" w:hAnsi="微软雅黑" w:eastAsia="微软雅黑" w:cs="微软雅黑"/>
          <w:kern w:val="0"/>
          <w:sz w:val="22"/>
          <w:szCs w:val="22"/>
        </w:rPr>
        <w:t>材料的执行科室，也需要注意下，这个对应的是否能开出材料有直接关系，一般勾选一个单独的材料库，用于进货，后面不要加服务科室。再加需要发料的科室，也就是执行科室，需要加对应的服务科室，这样科室开出，执行科室发料就可以实现了</w:t>
      </w:r>
    </w:p>
    <w:p>
      <w:pPr>
        <w:widowControl/>
        <w:spacing w:before="100" w:beforeAutospacing="1" w:after="100" w:afterAutospacing="1"/>
        <w:ind w:firstLine="44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6645910" cy="2950845"/>
            <wp:effectExtent l="0" t="0" r="2540" b="19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ind w:left="440" w:leftChars="200" w:firstLine="0" w:firstLineChars="0"/>
        <w:jc w:val="left"/>
        <w:rPr>
          <w:rFonts w:hint="eastAsia" w:ascii="微软雅黑" w:hAnsi="微软雅黑" w:eastAsia="微软雅黑" w:cs="微软雅黑"/>
          <w:kern w:val="0"/>
          <w:sz w:val="22"/>
          <w:szCs w:val="22"/>
        </w:rPr>
      </w:pPr>
      <w:r>
        <w:rPr>
          <w:rFonts w:hint="eastAsia" w:ascii="微软雅黑" w:hAnsi="微软雅黑" w:eastAsia="微软雅黑" w:cs="微软雅黑"/>
          <w:kern w:val="0"/>
          <w:sz w:val="22"/>
          <w:szCs w:val="22"/>
        </w:rPr>
        <w:t> 材料维护好了，就需要给材料办理物资进货入库，可以通到我们的物资进货单进货，然后出库打到对应的发料室。如果有多个话，可以多个出，或者统一出道一个地方，再使用科室调入调出来调拨库存，</w:t>
      </w:r>
    </w:p>
    <w:p>
      <w:pPr>
        <w:widowControl/>
        <w:spacing w:before="100" w:beforeAutospacing="1" w:after="100" w:afterAutospacing="1"/>
        <w:ind w:firstLine="0" w:firstLineChars="0"/>
        <w:jc w:val="left"/>
        <w:rPr>
          <w:rFonts w:hint="eastAsia" w:ascii="微软雅黑" w:hAnsi="微软雅黑" w:eastAsia="微软雅黑" w:cs="微软雅黑"/>
          <w:kern w:val="0"/>
          <w:sz w:val="22"/>
          <w:szCs w:val="22"/>
        </w:rPr>
      </w:pPr>
      <w:r>
        <w:rPr>
          <w:rFonts w:hint="eastAsia" w:ascii="微软雅黑" w:hAnsi="微软雅黑" w:eastAsia="微软雅黑" w:cs="微软雅黑"/>
          <w:kern w:val="0"/>
          <w:sz w:val="22"/>
          <w:szCs w:val="22"/>
        </w:rPr>
        <w:t>  </w:t>
      </w:r>
      <w:r>
        <w:rPr>
          <w:rFonts w:hint="eastAsia" w:ascii="微软雅黑" w:hAnsi="微软雅黑" w:cs="微软雅黑"/>
          <w:kern w:val="0"/>
          <w:sz w:val="22"/>
          <w:szCs w:val="22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kern w:val="0"/>
          <w:sz w:val="22"/>
          <w:szCs w:val="22"/>
        </w:rPr>
        <w:t xml:space="preserve"> 在我们报表中有个2个关于材料库存查询的：</w:t>
      </w:r>
    </w:p>
    <w:p>
      <w:pPr>
        <w:widowControl/>
        <w:spacing w:before="100" w:beforeAutospacing="1" w:after="100" w:afterAutospacing="1"/>
        <w:ind w:firstLine="440" w:firstLineChars="200"/>
        <w:jc w:val="left"/>
        <w:rPr>
          <w:rFonts w:hint="eastAsia" w:ascii="微软雅黑" w:hAnsi="微软雅黑" w:eastAsia="微软雅黑" w:cs="微软雅黑"/>
          <w:kern w:val="0"/>
          <w:sz w:val="22"/>
          <w:szCs w:val="22"/>
        </w:rPr>
      </w:pPr>
      <w:r>
        <w:rPr>
          <w:rFonts w:hint="eastAsia" w:ascii="微软雅黑" w:hAnsi="微软雅黑" w:eastAsia="微软雅黑" w:cs="微软雅黑"/>
          <w:kern w:val="0"/>
          <w:sz w:val="22"/>
          <w:szCs w:val="22"/>
        </w:rPr>
        <w:t>--物资材料库存余额查询，这个是关于物资库（相当于药库）的级别查询</w:t>
      </w:r>
    </w:p>
    <w:p>
      <w:pPr>
        <w:widowControl/>
        <w:spacing w:before="100" w:beforeAutospacing="1" w:after="100" w:afterAutospacing="1"/>
        <w:ind w:firstLine="0" w:firstLineChars="0"/>
        <w:jc w:val="left"/>
        <w:rPr>
          <w:rFonts w:hint="eastAsia" w:ascii="微软雅黑" w:hAnsi="微软雅黑" w:eastAsia="微软雅黑" w:cs="微软雅黑"/>
          <w:kern w:val="0"/>
          <w:sz w:val="22"/>
          <w:szCs w:val="22"/>
        </w:rPr>
      </w:pPr>
      <w:r>
        <w:drawing>
          <wp:inline distT="0" distB="0" distL="114300" distR="114300">
            <wp:extent cx="6644005" cy="1508760"/>
            <wp:effectExtent l="0" t="0" r="4445" b="15240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ind w:firstLine="220" w:firstLineChars="100"/>
        <w:jc w:val="left"/>
        <w:rPr>
          <w:rFonts w:hint="eastAsia" w:ascii="微软雅黑" w:hAnsi="微软雅黑" w:eastAsia="微软雅黑" w:cs="微软雅黑"/>
          <w:kern w:val="0"/>
          <w:sz w:val="22"/>
          <w:szCs w:val="22"/>
        </w:rPr>
      </w:pPr>
      <w:r>
        <w:rPr>
          <w:rFonts w:hint="eastAsia" w:ascii="微软雅黑" w:hAnsi="微软雅黑" w:eastAsia="微软雅黑" w:cs="微软雅黑"/>
          <w:kern w:val="0"/>
          <w:sz w:val="22"/>
          <w:szCs w:val="22"/>
        </w:rPr>
        <w:t>--科室材料库存余额查询，这个是执行科室（相当于药房）的级别查询</w:t>
      </w:r>
    </w:p>
    <w:p>
      <w:pPr>
        <w:widowControl/>
        <w:spacing w:before="100" w:beforeAutospacing="1" w:after="100" w:afterAutospacing="1"/>
        <w:ind w:firstLine="0" w:firstLineChars="0"/>
        <w:jc w:val="left"/>
        <w:rPr>
          <w:rFonts w:hint="eastAsia" w:ascii="微软雅黑" w:hAnsi="微软雅黑" w:eastAsia="微软雅黑" w:cs="微软雅黑"/>
          <w:kern w:val="0"/>
          <w:sz w:val="22"/>
          <w:szCs w:val="22"/>
        </w:rPr>
      </w:pPr>
      <w:r>
        <w:drawing>
          <wp:inline distT="0" distB="0" distL="114300" distR="114300">
            <wp:extent cx="6638290" cy="2133600"/>
            <wp:effectExtent l="0" t="0" r="10160" b="0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ind w:firstLine="0" w:firstLineChars="0"/>
        <w:jc w:val="left"/>
        <w:rPr>
          <w:rFonts w:hint="eastAsia" w:ascii="微软雅黑" w:hAnsi="微软雅黑" w:eastAsia="微软雅黑" w:cs="微软雅黑"/>
          <w:kern w:val="0"/>
          <w:sz w:val="22"/>
          <w:szCs w:val="22"/>
        </w:rPr>
      </w:pPr>
      <w:r>
        <w:rPr>
          <w:rFonts w:hint="eastAsia" w:ascii="微软雅黑" w:hAnsi="微软雅黑" w:eastAsia="微软雅黑" w:cs="微软雅黑"/>
          <w:kern w:val="0"/>
          <w:sz w:val="22"/>
          <w:szCs w:val="22"/>
        </w:rPr>
        <w:t>一般开材料时候提示库存不足，可以用科室材料库存余额查询，查询下对应的库存是否充足</w:t>
      </w:r>
    </w:p>
    <w:p>
      <w:pPr>
        <w:widowControl/>
        <w:spacing w:before="100" w:beforeAutospacing="1" w:after="100" w:afterAutospacing="1"/>
        <w:ind w:left="0" w:leftChars="0" w:firstLine="0" w:firstLineChars="0"/>
        <w:jc w:val="left"/>
        <w:rPr>
          <w:rFonts w:hint="eastAsia" w:ascii="微软雅黑" w:hAnsi="微软雅黑" w:eastAsia="微软雅黑" w:cs="微软雅黑"/>
          <w:kern w:val="0"/>
          <w:sz w:val="22"/>
          <w:szCs w:val="22"/>
        </w:rPr>
      </w:pPr>
      <w:r>
        <w:rPr>
          <w:rFonts w:hint="eastAsia" w:ascii="微软雅黑" w:hAnsi="微软雅黑" w:eastAsia="微软雅黑" w:cs="微软雅黑"/>
          <w:kern w:val="0"/>
          <w:sz w:val="22"/>
          <w:szCs w:val="22"/>
        </w:rPr>
        <w:t>材料库存也入好了，接下来就是医生要开材料医嘱，或者护士材料记账，在门诊医生站有个扩展参数113参数，可以勾选上启用卫材库存判断的，这样就不至于没有材料的了，医生还能下医嘱</w:t>
      </w:r>
    </w:p>
    <w:p>
      <w:pPr>
        <w:ind w:firstLine="440"/>
        <w:rPr>
          <w:rFonts w:hint="eastAsia"/>
          <w:lang w:eastAsia="zh-CN"/>
        </w:rPr>
      </w:pPr>
      <w:r>
        <w:drawing>
          <wp:inline distT="0" distB="0" distL="114300" distR="114300">
            <wp:extent cx="5268595" cy="3350260"/>
            <wp:effectExtent l="0" t="0" r="8255" b="2540"/>
            <wp:docPr id="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0"/>
      </w:pPr>
      <w:r>
        <w:rPr>
          <w:rFonts w:hint="eastAsia"/>
        </w:rPr>
        <w:t>图示：</w:t>
      </w:r>
    </w:p>
    <w:p>
      <w:pPr>
        <w:widowControl/>
        <w:spacing w:before="100" w:beforeAutospacing="1" w:after="100" w:afterAutospacing="1"/>
        <w:ind w:firstLine="440" w:firstLineChars="0"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1、进入材料物资管理</w:t>
      </w:r>
    </w:p>
    <w:p>
      <w:pPr>
        <w:widowControl/>
        <w:spacing w:before="100" w:beforeAutospacing="1" w:after="100" w:afterAutospacing="1"/>
        <w:ind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197100" cy="1391920"/>
            <wp:effectExtent l="0" t="0" r="12700" b="177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ind w:firstLine="0" w:firstLineChars="0"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2、点击材料品种，新增品种</w:t>
      </w:r>
    </w:p>
    <w:p>
      <w:pPr>
        <w:widowControl/>
        <w:spacing w:before="100" w:beforeAutospacing="1" w:after="100" w:afterAutospacing="1"/>
        <w:ind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81930" cy="941705"/>
            <wp:effectExtent l="0" t="0" r="13970" b="1079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ind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569720" cy="1965325"/>
            <wp:effectExtent l="0" t="0" r="11430" b="158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ind w:firstLine="0" w:firstLineChars="0"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3、填写材料品种名称和单位，点击确定，品种添加完成</w:t>
      </w:r>
    </w:p>
    <w:p>
      <w:pPr>
        <w:widowControl/>
        <w:spacing w:before="100" w:beforeAutospacing="1" w:after="100" w:afterAutospacing="1"/>
        <w:ind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063490" cy="3957955"/>
            <wp:effectExtent l="0" t="0" r="381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3490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ind w:firstLine="0" w:firstLineChars="0"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4、点击材料规格，新增规格</w:t>
      </w:r>
    </w:p>
    <w:p>
      <w:pPr>
        <w:widowControl/>
        <w:spacing w:before="100" w:beforeAutospacing="1" w:after="100" w:afterAutospacing="1"/>
        <w:ind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172710" cy="491490"/>
            <wp:effectExtent l="0" t="0" r="8890" b="38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ind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3261995" cy="2251710"/>
            <wp:effectExtent l="0" t="0" r="14605" b="152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199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ind w:firstLine="0" w:firstLineChars="0"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5、填写材料规格基本信息</w:t>
      </w:r>
    </w:p>
    <w:p>
      <w:pPr>
        <w:widowControl/>
        <w:spacing w:before="100" w:beforeAutospacing="1" w:after="100" w:afterAutospacing="1"/>
        <w:ind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114300" distR="114300">
            <wp:extent cx="6642100" cy="5172075"/>
            <wp:effectExtent l="0" t="0" r="6350" b="952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ind w:firstLine="0" w:firstLineChars="0"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6、填写材料价格信息</w:t>
      </w:r>
    </w:p>
    <w:p>
      <w:pPr>
        <w:widowControl/>
        <w:spacing w:before="100" w:beforeAutospacing="1" w:after="100" w:afterAutospacing="1"/>
        <w:ind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645910" cy="4500245"/>
            <wp:effectExtent l="0" t="0" r="2540" b="146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ind w:firstLine="440" w:firstLineChars="0"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填写完成点击确定即可</w:t>
      </w:r>
    </w:p>
    <w:p>
      <w:pPr>
        <w:pStyle w:val="3"/>
      </w:pPr>
      <w:bookmarkStart w:id="3" w:name="_Toc20352"/>
      <w:r>
        <w:rPr>
          <w:rFonts w:hint="eastAsia"/>
          <w:lang w:val="en-US" w:eastAsia="zh-CN"/>
        </w:rPr>
        <w:t>病人材料发送</w:t>
      </w:r>
      <w:bookmarkEnd w:id="3"/>
    </w:p>
    <w:p>
      <w:pPr>
        <w:ind w:firstLine="440"/>
      </w:pPr>
      <w:r>
        <w:rPr>
          <w:rFonts w:hint="eastAsia"/>
        </w:rPr>
        <w:t>功能介绍：</w:t>
      </w:r>
    </w:p>
    <w:p>
      <w:pPr>
        <w:ind w:left="440" w:leftChars="200" w:firstLine="0" w:firstLineChars="0"/>
      </w:pPr>
      <w:r>
        <w:t>业务-——科室业务单据——病人材料发送,先查询出来，待发料单子，再进行发料即可，发完可以查询已发料项目</w:t>
      </w:r>
    </w:p>
    <w:p>
      <w:pPr>
        <w:ind w:firstLine="440"/>
        <w:rPr>
          <w:rFonts w:hint="eastAsia" w:eastAsia="微软雅黑"/>
          <w:lang w:eastAsia="zh-CN"/>
        </w:rPr>
      </w:pPr>
      <w:r>
        <w:rPr>
          <w:rFonts w:hint="eastAsia"/>
        </w:rPr>
        <w:t>特殊说明</w:t>
      </w:r>
      <w:r>
        <w:rPr>
          <w:rFonts w:hint="eastAsia"/>
          <w:lang w:eastAsia="zh-CN"/>
        </w:rPr>
        <w:t>：</w:t>
      </w:r>
    </w:p>
    <w:p>
      <w:pPr>
        <w:ind w:firstLine="440"/>
      </w:pPr>
      <w:r>
        <w:rPr>
          <w:rFonts w:hint="eastAsia"/>
        </w:rPr>
        <w:t>图示：</w:t>
      </w:r>
    </w:p>
    <w:p>
      <w:r>
        <w:drawing>
          <wp:inline distT="0" distB="0" distL="114300" distR="114300">
            <wp:extent cx="6638290" cy="1877695"/>
            <wp:effectExtent l="0" t="0" r="10160" b="825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4" w:name="_Toc12516"/>
      <w:r>
        <w:rPr>
          <w:rFonts w:hint="eastAsia"/>
          <w:lang w:val="en-US" w:eastAsia="zh-CN"/>
        </w:rPr>
        <w:t>卫材业务单据</w:t>
      </w:r>
      <w:bookmarkEnd w:id="4"/>
    </w:p>
    <w:p>
      <w:pPr>
        <w:outlineLvl w:val="2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5" w:name="_Toc4422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2.3.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1科室卫材入库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单</w:t>
      </w:r>
      <w:bookmarkEnd w:id="5"/>
    </w:p>
    <w:p>
      <w:pPr>
        <w:ind w:firstLine="440"/>
        <w:rPr>
          <w:rFonts w:hint="eastAsia"/>
        </w:rPr>
      </w:pPr>
      <w:r>
        <w:rPr>
          <w:rFonts w:hint="eastAsia"/>
        </w:rPr>
        <w:t>功能介绍：</w:t>
      </w:r>
    </w:p>
    <w:p>
      <w:pPr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点击业务----</w:t>
      </w:r>
      <w:r>
        <w:rPr>
          <w:rFonts w:hint="eastAsia" w:ascii="微软雅黑" w:hAnsi="微软雅黑" w:cs="微软雅黑"/>
          <w:sz w:val="22"/>
          <w:szCs w:val="22"/>
          <w:lang w:val="en-US" w:eastAsia="zh-CN"/>
        </w:rPr>
        <w:t>科室</w:t>
      </w:r>
      <w:r>
        <w:rPr>
          <w:rFonts w:hint="eastAsia" w:ascii="微软雅黑" w:hAnsi="微软雅黑" w:eastAsia="微软雅黑" w:cs="微软雅黑"/>
          <w:sz w:val="22"/>
          <w:szCs w:val="22"/>
        </w:rPr>
        <w:t>业务单据----选择</w:t>
      </w:r>
      <w:r>
        <w:rPr>
          <w:rFonts w:hint="eastAsia" w:ascii="微软雅黑" w:hAnsi="微软雅黑" w:cs="微软雅黑"/>
          <w:sz w:val="22"/>
          <w:szCs w:val="22"/>
          <w:lang w:val="en-US" w:eastAsia="zh-CN"/>
        </w:rPr>
        <w:t>科室入</w:t>
      </w:r>
      <w:r>
        <w:rPr>
          <w:rFonts w:hint="eastAsia" w:ascii="微软雅黑" w:hAnsi="微软雅黑" w:eastAsia="微软雅黑" w:cs="微软雅黑"/>
          <w:sz w:val="22"/>
          <w:szCs w:val="22"/>
        </w:rPr>
        <w:t>货单，填写好相应进货单信息</w:t>
      </w:r>
    </w:p>
    <w:p>
      <w:pPr>
        <w:ind w:left="440" w:leftChars="200" w:firstLine="0" w:firstLineChars="0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cs="微软雅黑"/>
          <w:sz w:val="22"/>
          <w:szCs w:val="22"/>
          <w:lang w:val="en-US" w:eastAsia="zh-CN"/>
        </w:rPr>
        <w:t>支持扫码枪扫描耗材唯一标识电子监管码，耗材名称</w:t>
      </w:r>
      <w:r>
        <w:rPr>
          <w:rFonts w:hint="eastAsia"/>
          <w:lang w:val="en-US" w:eastAsia="zh-CN"/>
        </w:rPr>
        <w:t>、规格、销售价、产地、批次等基本信息自动录入到单据里面</w:t>
      </w:r>
    </w:p>
    <w:p>
      <w:pP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(1.先选择</w:t>
      </w:r>
      <w:r>
        <w:rPr>
          <w:rFonts w:hint="eastAsia" w:ascii="微软雅黑" w:hAnsi="微软雅黑" w:cs="微软雅黑"/>
          <w:sz w:val="22"/>
          <w:szCs w:val="22"/>
          <w:lang w:val="en-US" w:eastAsia="zh-CN"/>
        </w:rPr>
        <w:t>科室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2.点左上角的新增3.选择</w:t>
      </w:r>
      <w:r>
        <w:rPr>
          <w:rFonts w:hint="eastAsia" w:ascii="微软雅黑" w:hAnsi="微软雅黑" w:cs="微软雅黑"/>
          <w:sz w:val="22"/>
          <w:szCs w:val="22"/>
          <w:lang w:val="en-US" w:eastAsia="zh-CN"/>
        </w:rPr>
        <w:t>库房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4.选择采购员5.按向下按键↓填写进货信息)</w:t>
      </w:r>
    </w:p>
    <w:p>
      <w:pPr>
        <w:ind w:firstLine="440"/>
        <w:rPr>
          <w:rFonts w:hint="eastAsia"/>
        </w:rPr>
      </w:pPr>
    </w:p>
    <w:p>
      <w:pPr>
        <w:rPr>
          <w:rFonts w:hint="eastAsia" w:eastAsia="微软雅黑"/>
          <w:lang w:eastAsia="zh-CN"/>
        </w:rPr>
      </w:pPr>
      <w:r>
        <w:rPr>
          <w:rFonts w:hint="eastAsia"/>
        </w:rPr>
        <w:t>特殊说明</w:t>
      </w:r>
      <w:r>
        <w:rPr>
          <w:rFonts w:hint="eastAsia"/>
          <w:lang w:eastAsia="zh-CN"/>
        </w:rPr>
        <w:t>：</w:t>
      </w:r>
    </w:p>
    <w:p>
      <w:pPr>
        <w:ind w:firstLine="440"/>
        <w:rPr>
          <w:rFonts w:hint="eastAsia"/>
        </w:rPr>
      </w:pPr>
      <w:r>
        <w:rPr>
          <w:rFonts w:hint="eastAsia"/>
        </w:rPr>
        <w:t>图示：</w:t>
      </w:r>
    </w:p>
    <w:p>
      <w:pPr>
        <w:ind w:firstLine="440"/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</w:pPr>
      <w:r>
        <w:drawing>
          <wp:inline distT="0" distB="0" distL="114300" distR="114300">
            <wp:extent cx="6639560" cy="3030220"/>
            <wp:effectExtent l="0" t="0" r="8890" b="17780"/>
            <wp:docPr id="4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2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6" w:name="_Toc98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2.3.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2科室卫材出库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单</w:t>
      </w:r>
      <w:bookmarkEnd w:id="6"/>
    </w:p>
    <w:p>
      <w:pPr>
        <w:ind w:left="0" w:leftChars="0" w:firstLine="440" w:firstLineChars="200"/>
        <w:rPr>
          <w:rFonts w:hint="eastAsia"/>
        </w:rPr>
      </w:pPr>
      <w:r>
        <w:rPr>
          <w:rFonts w:hint="eastAsia"/>
        </w:rPr>
        <w:t>功能介绍：</w:t>
      </w:r>
    </w:p>
    <w:p>
      <w:pPr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点击业务---</w:t>
      </w:r>
      <w:r>
        <w:rPr>
          <w:rFonts w:hint="eastAsia" w:ascii="微软雅黑" w:hAnsi="微软雅黑" w:cs="微软雅黑"/>
          <w:sz w:val="22"/>
          <w:szCs w:val="22"/>
          <w:lang w:val="en-US" w:eastAsia="zh-CN"/>
        </w:rPr>
        <w:t>科室</w:t>
      </w:r>
      <w:r>
        <w:rPr>
          <w:rFonts w:hint="eastAsia" w:ascii="微软雅黑" w:hAnsi="微软雅黑" w:eastAsia="微软雅黑" w:cs="微软雅黑"/>
          <w:sz w:val="22"/>
          <w:szCs w:val="22"/>
        </w:rPr>
        <w:t>业务单据---选择</w:t>
      </w:r>
      <w:r>
        <w:rPr>
          <w:rFonts w:hint="eastAsia" w:ascii="微软雅黑" w:hAnsi="微软雅黑" w:cs="微软雅黑"/>
          <w:sz w:val="22"/>
          <w:szCs w:val="22"/>
          <w:lang w:val="en-US" w:eastAsia="zh-CN"/>
        </w:rPr>
        <w:t>科室发</w:t>
      </w:r>
      <w:r>
        <w:rPr>
          <w:rFonts w:hint="eastAsia" w:ascii="微软雅黑" w:hAnsi="微软雅黑" w:eastAsia="微软雅黑" w:cs="微软雅黑"/>
          <w:sz w:val="22"/>
          <w:szCs w:val="22"/>
        </w:rPr>
        <w:t>出单，填写好相应出库单信息</w:t>
      </w:r>
    </w:p>
    <w:p>
      <w:pPr>
        <w:ind w:left="440" w:leftChars="200" w:firstLine="0" w:firstLineChars="0"/>
        <w:rPr>
          <w:rFonts w:hint="default" w:ascii="微软雅黑" w:hAnsi="微软雅黑" w:eastAsia="微软雅黑" w:cs="微软雅黑"/>
          <w:sz w:val="22"/>
          <w:szCs w:val="22"/>
          <w:lang w:val="en-US"/>
        </w:rPr>
      </w:pPr>
      <w:r>
        <w:rPr>
          <w:rFonts w:hint="eastAsia" w:ascii="微软雅黑" w:hAnsi="微软雅黑" w:cs="微软雅黑"/>
          <w:sz w:val="22"/>
          <w:szCs w:val="22"/>
          <w:lang w:val="en-US" w:eastAsia="zh-CN"/>
        </w:rPr>
        <w:t>支持扫码枪扫描耗材唯一标识电子监管码，耗材名称</w:t>
      </w:r>
      <w:r>
        <w:rPr>
          <w:rFonts w:hint="eastAsia"/>
          <w:lang w:val="en-US" w:eastAsia="zh-CN"/>
        </w:rPr>
        <w:t>、规格、销售价、产地、批次等基本信息自动录入到单据里面</w:t>
      </w:r>
    </w:p>
    <w:p>
      <w:pPr>
        <w:ind w:left="0" w:leftChars="0" w:firstLine="440" w:firstLineChars="200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出库选择的出库科室就是请领科室，出给请领科室就OK了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）</w:t>
      </w:r>
      <w:r>
        <w:rPr>
          <w:rFonts w:hint="eastAsia" w:ascii="微软雅黑" w:hAnsi="微软雅黑" w:eastAsia="微软雅黑" w:cs="微软雅黑"/>
          <w:sz w:val="22"/>
          <w:szCs w:val="22"/>
        </w:rPr>
        <w:t xml:space="preserve"> </w:t>
      </w:r>
    </w:p>
    <w:p>
      <w:pPr>
        <w:ind w:firstLine="440"/>
        <w:rPr>
          <w:rFonts w:hint="eastAsia" w:eastAsia="微软雅黑"/>
          <w:lang w:eastAsia="zh-CN"/>
        </w:rPr>
      </w:pPr>
      <w:r>
        <w:rPr>
          <w:rFonts w:hint="eastAsia"/>
        </w:rPr>
        <w:t>特殊说明</w:t>
      </w:r>
      <w:r>
        <w:rPr>
          <w:rFonts w:hint="eastAsia"/>
          <w:lang w:eastAsia="zh-CN"/>
        </w:rPr>
        <w:t>：</w:t>
      </w:r>
    </w:p>
    <w:p>
      <w:pPr>
        <w:ind w:firstLine="440"/>
        <w:rPr>
          <w:rFonts w:hint="eastAsia"/>
        </w:rPr>
      </w:pPr>
      <w:r>
        <w:rPr>
          <w:rFonts w:hint="eastAsia"/>
        </w:rPr>
        <w:t>图示：</w:t>
      </w:r>
    </w:p>
    <w:p>
      <w:pPr>
        <w:ind w:firstLine="440"/>
        <w:rPr>
          <w:rFonts w:hint="eastAsia"/>
        </w:rPr>
      </w:pPr>
      <w:r>
        <w:drawing>
          <wp:inline distT="0" distB="0" distL="114300" distR="114300">
            <wp:extent cx="6638290" cy="3129280"/>
            <wp:effectExtent l="0" t="0" r="10160" b="13970"/>
            <wp:docPr id="4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2"/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</w:pPr>
      <w:bookmarkStart w:id="7" w:name="_Toc26740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2.3.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3科室卫材请领单</w:t>
      </w:r>
      <w:bookmarkEnd w:id="7"/>
    </w:p>
    <w:p>
      <w:pPr>
        <w:ind w:firstLine="440"/>
        <w:rPr>
          <w:rFonts w:hint="eastAsia"/>
        </w:rPr>
      </w:pPr>
      <w:r>
        <w:rPr>
          <w:rFonts w:hint="eastAsia"/>
        </w:rPr>
        <w:t>功能介绍：</w:t>
      </w:r>
    </w:p>
    <w:p>
      <w:pPr>
        <w:ind w:left="440" w:leftChars="200" w:firstLine="0" w:firstLineChars="0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 xml:space="preserve"> 点击业务---科室业务单据—选择科室材料请领单，填写好相应请领单信息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（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CN"/>
        </w:rPr>
        <w:t>这个是要申请卫材的科室填写的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）</w:t>
      </w:r>
    </w:p>
    <w:p>
      <w:pPr>
        <w:ind w:firstLine="440"/>
        <w:rPr>
          <w:rFonts w:hint="eastAsia" w:eastAsia="微软雅黑"/>
          <w:lang w:eastAsia="zh-CN"/>
        </w:rPr>
      </w:pPr>
      <w:r>
        <w:rPr>
          <w:rFonts w:hint="eastAsia"/>
        </w:rPr>
        <w:t>特殊说明</w:t>
      </w:r>
      <w:r>
        <w:rPr>
          <w:rFonts w:hint="eastAsia"/>
          <w:lang w:eastAsia="zh-CN"/>
        </w:rPr>
        <w:t>：</w:t>
      </w:r>
    </w:p>
    <w:p>
      <w:pPr>
        <w:ind w:firstLine="440"/>
        <w:rPr>
          <w:rFonts w:hint="eastAsia"/>
        </w:rPr>
      </w:pPr>
      <w:r>
        <w:rPr>
          <w:rFonts w:hint="eastAsia"/>
        </w:rPr>
        <w:t>图示：</w:t>
      </w:r>
    </w:p>
    <w:p>
      <w:pPr>
        <w:ind w:firstLine="440"/>
        <w:rPr>
          <w:rFonts w:hint="eastAsia"/>
        </w:rPr>
      </w:pPr>
      <w:r>
        <w:drawing>
          <wp:inline distT="0" distB="0" distL="114300" distR="114300">
            <wp:extent cx="5274310" cy="3031490"/>
            <wp:effectExtent l="0" t="0" r="2540" b="16510"/>
            <wp:docPr id="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41" w:firstLineChars="600"/>
        <w:outlineLvl w:val="2"/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</w:pPr>
      <w:bookmarkStart w:id="8" w:name="_Toc7552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2.3.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4科室卫材退货单</w:t>
      </w:r>
      <w:bookmarkEnd w:id="8"/>
    </w:p>
    <w:p>
      <w:pPr>
        <w:ind w:firstLine="440"/>
        <w:rPr>
          <w:rFonts w:hint="eastAsia"/>
        </w:rPr>
      </w:pPr>
      <w:r>
        <w:rPr>
          <w:rFonts w:hint="eastAsia"/>
        </w:rPr>
        <w:t>功能介绍：</w:t>
      </w:r>
    </w:p>
    <w:p>
      <w:pPr>
        <w:ind w:left="440" w:leftChars="200" w:firstLine="0" w:firstLineChars="0"/>
        <w:jc w:val="left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有时候库房进的货，已经填写完进货单了，想取消进货，也就是退货，需要填写一个退货单 点击业务---</w:t>
      </w:r>
      <w:r>
        <w:rPr>
          <w:rFonts w:hint="eastAsia" w:ascii="微软雅黑" w:hAnsi="微软雅黑" w:cs="微软雅黑"/>
          <w:sz w:val="22"/>
          <w:szCs w:val="22"/>
          <w:lang w:val="en-US" w:eastAsia="zh-CN"/>
        </w:rPr>
        <w:t>科室</w:t>
      </w:r>
      <w:r>
        <w:rPr>
          <w:rFonts w:hint="eastAsia" w:ascii="微软雅黑" w:hAnsi="微软雅黑" w:eastAsia="微软雅黑" w:cs="微软雅黑"/>
          <w:sz w:val="22"/>
          <w:szCs w:val="22"/>
        </w:rPr>
        <w:t>业务单据---选择</w:t>
      </w:r>
      <w:r>
        <w:rPr>
          <w:rFonts w:hint="eastAsia" w:ascii="微软雅黑" w:hAnsi="微软雅黑" w:cs="微软雅黑"/>
          <w:sz w:val="22"/>
          <w:szCs w:val="22"/>
          <w:lang w:val="en-US" w:eastAsia="zh-CN"/>
        </w:rPr>
        <w:t>科室材料</w:t>
      </w:r>
      <w:r>
        <w:rPr>
          <w:rFonts w:hint="eastAsia" w:ascii="微软雅黑" w:hAnsi="微软雅黑" w:eastAsia="微软雅黑" w:cs="微软雅黑"/>
          <w:sz w:val="22"/>
          <w:szCs w:val="22"/>
        </w:rPr>
        <w:t>退货单，填写好相应的退货单信息</w:t>
      </w:r>
    </w:p>
    <w:p>
      <w:pPr>
        <w:ind w:firstLine="440"/>
        <w:rPr>
          <w:rFonts w:hint="eastAsia"/>
        </w:rPr>
      </w:pPr>
    </w:p>
    <w:p>
      <w:pPr>
        <w:ind w:firstLine="440"/>
        <w:rPr>
          <w:rFonts w:hint="eastAsia" w:eastAsia="微软雅黑"/>
          <w:lang w:eastAsia="zh-CN"/>
        </w:rPr>
      </w:pPr>
      <w:r>
        <w:rPr>
          <w:rFonts w:hint="eastAsia"/>
        </w:rPr>
        <w:t>特殊说明</w:t>
      </w:r>
      <w:r>
        <w:rPr>
          <w:rFonts w:hint="eastAsia"/>
          <w:lang w:eastAsia="zh-CN"/>
        </w:rPr>
        <w:t>：</w:t>
      </w:r>
    </w:p>
    <w:p>
      <w:pPr>
        <w:ind w:firstLine="440"/>
        <w:rPr>
          <w:rFonts w:hint="eastAsia"/>
        </w:rPr>
      </w:pPr>
      <w:r>
        <w:rPr>
          <w:rFonts w:hint="eastAsia"/>
        </w:rPr>
        <w:t>图示：</w:t>
      </w:r>
    </w:p>
    <w:p>
      <w:pPr>
        <w:ind w:firstLine="440"/>
      </w:pPr>
      <w:r>
        <w:drawing>
          <wp:inline distT="0" distB="0" distL="114300" distR="114300">
            <wp:extent cx="6635115" cy="3053080"/>
            <wp:effectExtent l="0" t="0" r="13335" b="13970"/>
            <wp:docPr id="4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2"/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</w:pPr>
      <w:bookmarkStart w:id="9" w:name="_Toc20038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2.3.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5科室卫材调入单</w:t>
      </w:r>
      <w:bookmarkEnd w:id="9"/>
    </w:p>
    <w:p>
      <w:pPr>
        <w:ind w:firstLine="440"/>
      </w:pPr>
      <w:r>
        <w:rPr>
          <w:rFonts w:hint="eastAsia"/>
        </w:rPr>
        <w:t>功能介绍：</w:t>
      </w:r>
    </w:p>
    <w:p>
      <w:pPr>
        <w:ind w:left="440" w:leftChars="200" w:firstLine="0" w:firstLineChars="0"/>
        <w:jc w:val="left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/>
          <w:lang w:val="en-US" w:eastAsia="zh-CN"/>
        </w:rPr>
        <w:t>如果本科室该材料没有库存，需要从别的科室库房调入使用，</w:t>
      </w:r>
      <w:r>
        <w:t>业务-——科室业务单据——</w:t>
      </w:r>
      <w:r>
        <w:rPr>
          <w:rFonts w:hint="eastAsia"/>
          <w:lang w:val="en-US" w:eastAsia="zh-CN"/>
        </w:rPr>
        <w:t>科室材料调入单</w:t>
      </w:r>
      <w:r>
        <w:t>,</w:t>
      </w:r>
      <w:r>
        <w:rPr>
          <w:rFonts w:hint="eastAsia" w:ascii="微软雅黑" w:hAnsi="微软雅黑" w:eastAsia="微软雅黑" w:cs="微软雅黑"/>
          <w:sz w:val="22"/>
          <w:szCs w:val="22"/>
        </w:rPr>
        <w:t>选择物资</w:t>
      </w:r>
      <w:r>
        <w:rPr>
          <w:rFonts w:hint="eastAsia" w:ascii="微软雅黑" w:hAnsi="微软雅黑" w:cs="微软雅黑"/>
          <w:sz w:val="22"/>
          <w:szCs w:val="22"/>
          <w:lang w:val="en-US" w:eastAsia="zh-CN"/>
        </w:rPr>
        <w:t>调入</w:t>
      </w:r>
      <w:r>
        <w:rPr>
          <w:rFonts w:hint="eastAsia" w:ascii="微软雅黑" w:hAnsi="微软雅黑" w:eastAsia="微软雅黑" w:cs="微软雅黑"/>
          <w:sz w:val="22"/>
          <w:szCs w:val="22"/>
        </w:rPr>
        <w:t>单，填写好相应的</w:t>
      </w:r>
      <w:r>
        <w:rPr>
          <w:rFonts w:hint="eastAsia" w:ascii="微软雅黑" w:hAnsi="微软雅黑" w:cs="微软雅黑"/>
          <w:sz w:val="22"/>
          <w:szCs w:val="22"/>
          <w:lang w:val="en-US" w:eastAsia="zh-CN"/>
        </w:rPr>
        <w:t>调入</w:t>
      </w:r>
      <w:r>
        <w:rPr>
          <w:rFonts w:hint="eastAsia" w:ascii="微软雅黑" w:hAnsi="微软雅黑" w:eastAsia="微软雅黑" w:cs="微软雅黑"/>
          <w:sz w:val="22"/>
          <w:szCs w:val="22"/>
        </w:rPr>
        <w:t>单信息</w:t>
      </w:r>
    </w:p>
    <w:p>
      <w:pPr>
        <w:ind w:left="0" w:leftChars="0" w:firstLine="440" w:firstLineChars="200"/>
        <w:rPr>
          <w:rFonts w:hint="eastAsia"/>
          <w:lang w:eastAsia="zh-CN"/>
        </w:rPr>
      </w:pPr>
      <w:r>
        <w:rPr>
          <w:rFonts w:hint="eastAsia"/>
        </w:rPr>
        <w:t>特殊说明</w:t>
      </w:r>
      <w:r>
        <w:rPr>
          <w:rFonts w:hint="eastAsia"/>
          <w:lang w:eastAsia="zh-CN"/>
        </w:rPr>
        <w:t>：</w:t>
      </w:r>
    </w:p>
    <w:p>
      <w:pPr>
        <w:ind w:firstLine="440"/>
        <w:rPr>
          <w:rFonts w:hint="eastAsia"/>
        </w:rPr>
      </w:pPr>
      <w:r>
        <w:rPr>
          <w:rFonts w:hint="eastAsia"/>
        </w:rPr>
        <w:t>图示：</w:t>
      </w:r>
    </w:p>
    <w:p>
      <w:pPr>
        <w:ind w:firstLine="440"/>
      </w:pPr>
      <w:r>
        <w:drawing>
          <wp:inline distT="0" distB="0" distL="114300" distR="114300">
            <wp:extent cx="6638290" cy="3163570"/>
            <wp:effectExtent l="0" t="0" r="10160" b="17780"/>
            <wp:docPr id="4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2"/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</w:pPr>
      <w:bookmarkStart w:id="10" w:name="_Toc17702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2.3.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6科室卫材调出单</w:t>
      </w:r>
      <w:bookmarkEnd w:id="10"/>
    </w:p>
    <w:p>
      <w:pPr>
        <w:ind w:firstLine="440"/>
      </w:pPr>
      <w:r>
        <w:rPr>
          <w:rFonts w:hint="eastAsia"/>
        </w:rPr>
        <w:t>功能介绍：</w:t>
      </w:r>
    </w:p>
    <w:p>
      <w:pPr>
        <w:ind w:left="440" w:leftChars="200" w:firstLine="0" w:firstLineChars="0"/>
        <w:jc w:val="left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/>
          <w:lang w:val="en-US" w:eastAsia="zh-CN"/>
        </w:rPr>
        <w:t>本科室该材料库存充盈，医院别的科室库存不足，协调医院材料资源是需要调出给别的科室，</w:t>
      </w:r>
      <w:r>
        <w:t>业务-——科室业务单据——</w:t>
      </w:r>
      <w:r>
        <w:rPr>
          <w:rFonts w:hint="eastAsia"/>
          <w:lang w:val="en-US" w:eastAsia="zh-CN"/>
        </w:rPr>
        <w:t>科室材料调出单</w:t>
      </w:r>
      <w:r>
        <w:t>,</w:t>
      </w:r>
      <w:r>
        <w:rPr>
          <w:rFonts w:hint="eastAsia" w:ascii="微软雅黑" w:hAnsi="微软雅黑" w:eastAsia="微软雅黑" w:cs="微软雅黑"/>
          <w:sz w:val="22"/>
          <w:szCs w:val="22"/>
        </w:rPr>
        <w:t>选择物资</w:t>
      </w:r>
      <w:r>
        <w:rPr>
          <w:rFonts w:hint="eastAsia" w:ascii="微软雅黑" w:hAnsi="微软雅黑" w:cs="微软雅黑"/>
          <w:sz w:val="22"/>
          <w:szCs w:val="22"/>
          <w:lang w:val="en-US" w:eastAsia="zh-CN"/>
        </w:rPr>
        <w:t>调出</w:t>
      </w:r>
      <w:r>
        <w:rPr>
          <w:rFonts w:hint="eastAsia" w:ascii="微软雅黑" w:hAnsi="微软雅黑" w:eastAsia="微软雅黑" w:cs="微软雅黑"/>
          <w:sz w:val="22"/>
          <w:szCs w:val="22"/>
        </w:rPr>
        <w:t>单，填写好相应的</w:t>
      </w:r>
      <w:r>
        <w:rPr>
          <w:rFonts w:hint="eastAsia" w:ascii="微软雅黑" w:hAnsi="微软雅黑" w:cs="微软雅黑"/>
          <w:sz w:val="22"/>
          <w:szCs w:val="22"/>
          <w:lang w:val="en-US" w:eastAsia="zh-CN"/>
        </w:rPr>
        <w:t>调出</w:t>
      </w:r>
      <w:r>
        <w:rPr>
          <w:rFonts w:hint="eastAsia" w:ascii="微软雅黑" w:hAnsi="微软雅黑" w:eastAsia="微软雅黑" w:cs="微软雅黑"/>
          <w:sz w:val="22"/>
          <w:szCs w:val="22"/>
        </w:rPr>
        <w:t>单信息</w:t>
      </w:r>
    </w:p>
    <w:p>
      <w:pPr>
        <w:ind w:left="0" w:leftChars="0" w:firstLine="440" w:firstLineChars="200"/>
        <w:rPr>
          <w:rFonts w:hint="eastAsia"/>
          <w:lang w:eastAsia="zh-CN"/>
        </w:rPr>
      </w:pPr>
      <w:r>
        <w:rPr>
          <w:rFonts w:hint="eastAsia"/>
        </w:rPr>
        <w:t>特殊说明</w:t>
      </w:r>
      <w:r>
        <w:rPr>
          <w:rFonts w:hint="eastAsia"/>
          <w:lang w:eastAsia="zh-CN"/>
        </w:rPr>
        <w:t>：</w:t>
      </w:r>
    </w:p>
    <w:p>
      <w:pPr>
        <w:ind w:firstLine="440"/>
        <w:rPr>
          <w:rFonts w:hint="eastAsia"/>
        </w:rPr>
      </w:pPr>
      <w:r>
        <w:rPr>
          <w:rFonts w:hint="eastAsia"/>
        </w:rPr>
        <w:t>图示：</w:t>
      </w:r>
    </w:p>
    <w:p>
      <w:pPr>
        <w:ind w:firstLine="440"/>
      </w:pPr>
      <w:r>
        <w:drawing>
          <wp:inline distT="0" distB="0" distL="114300" distR="114300">
            <wp:extent cx="6631940" cy="3115310"/>
            <wp:effectExtent l="0" t="0" r="16510" b="8890"/>
            <wp:docPr id="4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31940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2"/>
        <w:rPr>
          <w:rFonts w:hint="default" w:ascii="微软雅黑" w:hAnsi="微软雅黑" w:cs="微软雅黑"/>
          <w:b/>
          <w:bCs/>
          <w:sz w:val="24"/>
          <w:szCs w:val="24"/>
          <w:lang w:val="en-US" w:eastAsia="zh-CN"/>
        </w:rPr>
      </w:pPr>
      <w:bookmarkStart w:id="11" w:name="_Toc6685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2.3.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7高值耗材日志追踪</w:t>
      </w:r>
      <w:bookmarkEnd w:id="11"/>
    </w:p>
    <w:p>
      <w:pPr>
        <w:ind w:firstLine="440"/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功能介绍：</w:t>
      </w:r>
    </w:p>
    <w:p>
      <w:pPr>
        <w:pStyle w:val="54"/>
        <w:numPr>
          <w:ilvl w:val="0"/>
          <w:numId w:val="6"/>
        </w:numPr>
        <w:ind w:firstLineChars="0"/>
      </w:pPr>
      <w:r>
        <w:rPr>
          <w:rFonts w:hint="eastAsia"/>
        </w:rPr>
        <w:t>登录界面之后，在开始中搜索高值耗材追溯，如下图所示，选择功能模块进入操作界面</w:t>
      </w:r>
    </w:p>
    <w:p>
      <w:pPr>
        <w:pStyle w:val="54"/>
        <w:numPr>
          <w:ilvl w:val="0"/>
          <w:numId w:val="0"/>
        </w:numPr>
        <w:ind w:left="440" w:leftChars="0"/>
      </w:pPr>
      <w:r>
        <w:drawing>
          <wp:inline distT="0" distB="0" distL="0" distR="0">
            <wp:extent cx="3752215" cy="5456555"/>
            <wp:effectExtent l="0" t="0" r="635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52381" cy="5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4"/>
        <w:numPr>
          <w:ilvl w:val="0"/>
          <w:numId w:val="6"/>
        </w:numPr>
        <w:ind w:firstLineChars="0"/>
      </w:pPr>
      <w:r>
        <w:rPr>
          <w:rFonts w:hint="eastAsia"/>
        </w:rPr>
        <w:t>查询功能在操作界面上方，提供多种查询条件，实现快速查询数据，如下图所示，用户可输入条件进行精确查询。</w:t>
      </w:r>
    </w:p>
    <w:p>
      <w:pPr>
        <w:pStyle w:val="54"/>
        <w:numPr>
          <w:ilvl w:val="0"/>
          <w:numId w:val="0"/>
        </w:numPr>
        <w:ind w:left="440" w:leftChars="0"/>
      </w:pPr>
      <w:r>
        <w:drawing>
          <wp:inline distT="0" distB="0" distL="0" distR="0">
            <wp:extent cx="6645910" cy="617855"/>
            <wp:effectExtent l="0" t="0" r="2540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4"/>
        <w:numPr>
          <w:ilvl w:val="0"/>
          <w:numId w:val="6"/>
        </w:numPr>
        <w:ind w:firstLineChars="0"/>
      </w:pPr>
      <w:r>
        <w:rPr>
          <w:rFonts w:hint="eastAsia"/>
        </w:rPr>
        <w:t>高值耗材列表内容展示区，如下图所示，显示本院所有出入库及流转的高值耗材信息。用户可以双击选中查看追溯日志。</w:t>
      </w:r>
    </w:p>
    <w:p>
      <w:pPr>
        <w:pStyle w:val="54"/>
        <w:numPr>
          <w:ilvl w:val="0"/>
          <w:numId w:val="0"/>
        </w:numPr>
        <w:ind w:left="440" w:leftChars="0"/>
      </w:pPr>
      <w:r>
        <w:drawing>
          <wp:inline distT="0" distB="0" distL="0" distR="0">
            <wp:extent cx="6645910" cy="384683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4"/>
        <w:numPr>
          <w:ilvl w:val="0"/>
          <w:numId w:val="6"/>
        </w:numPr>
        <w:ind w:firstLineChars="0"/>
      </w:pPr>
      <w:r>
        <w:rPr>
          <w:rFonts w:hint="eastAsia"/>
        </w:rPr>
        <w:t>高值耗材日志追踪模块在操作界面右侧，如下图所示，追踪栏可以查看制定耗材的流转记录，能够监控高值耗材的每个状态的的记录，实现全流程的可追溯。</w:t>
      </w:r>
    </w:p>
    <w:p>
      <w:pPr>
        <w:pStyle w:val="54"/>
        <w:numPr>
          <w:ilvl w:val="0"/>
          <w:numId w:val="0"/>
        </w:numPr>
        <w:ind w:left="440" w:leftChars="0"/>
      </w:pPr>
      <w:r>
        <w:drawing>
          <wp:inline distT="0" distB="0" distL="0" distR="0">
            <wp:extent cx="2952115" cy="7218680"/>
            <wp:effectExtent l="0" t="0" r="63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52381" cy="7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4"/>
        <w:numPr>
          <w:ilvl w:val="0"/>
          <w:numId w:val="0"/>
        </w:numPr>
        <w:ind w:left="440" w:leftChars="0"/>
      </w:pPr>
    </w:p>
    <w:p>
      <w:pPr>
        <w:ind w:left="0" w:leftChars="0" w:firstLine="440" w:firstLineChars="200"/>
        <w:rPr>
          <w:rFonts w:hint="eastAsia"/>
          <w:lang w:eastAsia="zh-CN"/>
        </w:rPr>
      </w:pPr>
      <w:r>
        <w:rPr>
          <w:rFonts w:hint="eastAsia"/>
        </w:rPr>
        <w:t>特殊说明</w:t>
      </w:r>
      <w:r>
        <w:rPr>
          <w:rFonts w:hint="eastAsia"/>
          <w:lang w:eastAsia="zh-CN"/>
        </w:rPr>
        <w:t>：</w:t>
      </w:r>
    </w:p>
    <w:p>
      <w:pPr>
        <w:ind w:firstLine="440"/>
        <w:rPr>
          <w:rFonts w:hint="eastAsia"/>
        </w:rPr>
      </w:pPr>
      <w:r>
        <w:rPr>
          <w:rFonts w:hint="eastAsia"/>
        </w:rPr>
        <w:t>图示：</w:t>
      </w:r>
    </w:p>
    <w:p>
      <w:pPr>
        <w:ind w:left="0" w:leftChars="0" w:firstLine="0" w:firstLineChars="0"/>
        <w:rPr>
          <w:rFonts w:hint="eastAsia"/>
        </w:rPr>
      </w:pPr>
    </w:p>
    <w:p>
      <w:pPr>
        <w:pStyle w:val="3"/>
      </w:pPr>
      <w:bookmarkStart w:id="12" w:name="_Toc12007"/>
      <w:r>
        <w:rPr>
          <w:rFonts w:hint="eastAsia"/>
          <w:lang w:val="en-US" w:eastAsia="zh-CN"/>
        </w:rPr>
        <w:t>高值耗材追溯</w:t>
      </w:r>
      <w:bookmarkEnd w:id="1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功能介绍：</w:t>
      </w:r>
    </w:p>
    <w:p>
      <w:pPr>
        <w:ind w:left="440" w:leftChars="20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高值耗材采用电子监管码作为唯一的标识，这样在验收时扫描电子监管码后，不但可以办理入库信息，还直接记录了材料的各项信息。经过电子监管码管理，耗材个体包括名称、产地、供应室、规格型号、出厂日期、包装日期、有效期、批号、等信息，全部记录入高值耗材追溯管理。</w:t>
      </w:r>
    </w:p>
    <w:p>
      <w:pPr>
        <w:ind w:left="440" w:leftChars="20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如果有耗材没有使用，则有科室退回科室物资处，由物资人员扫描耗材、核对电子监管码后办理退货信息</w:t>
      </w:r>
    </w:p>
    <w:p>
      <w:pPr>
        <w:ind w:left="440" w:leftChars="20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通过耗材的唯一标识-电子监管码做到每个耗材都能向上追溯到开单人、开单日期、采购人、审核人、请领人，请领科室，审核时间、产地、规格等，向下追溯到患者。</w:t>
      </w:r>
    </w:p>
    <w:p>
      <w:pPr>
        <w:ind w:left="440" w:leftChars="200" w:firstLine="0" w:firstLineChars="0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638290" cy="2185035"/>
            <wp:effectExtent l="0" t="0" r="10160" b="571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40" w:firstLineChars="200"/>
        <w:rPr>
          <w:rFonts w:hint="eastAsia"/>
          <w:lang w:eastAsia="zh-CN"/>
        </w:rPr>
      </w:pPr>
      <w:r>
        <w:rPr>
          <w:rFonts w:hint="eastAsia"/>
        </w:rPr>
        <w:t>特殊说明</w:t>
      </w:r>
      <w:r>
        <w:rPr>
          <w:rFonts w:hint="eastAsia"/>
          <w:lang w:eastAsia="zh-CN"/>
        </w:rPr>
        <w:t>：</w:t>
      </w:r>
    </w:p>
    <w:p>
      <w:pPr>
        <w:ind w:firstLine="440"/>
        <w:rPr>
          <w:rFonts w:hint="eastAsia"/>
        </w:rPr>
      </w:pPr>
      <w:r>
        <w:rPr>
          <w:rFonts w:hint="eastAsia"/>
        </w:rPr>
        <w:t>图示：</w:t>
      </w:r>
    </w:p>
    <w:p>
      <w:pPr>
        <w:ind w:left="0" w:leftChars="0" w:firstLine="0" w:firstLineChars="0"/>
      </w:pPr>
    </w:p>
    <w:p>
      <w:pPr>
        <w:pStyle w:val="2"/>
      </w:pPr>
      <w:bookmarkStart w:id="13" w:name="_Toc13354"/>
      <w:r>
        <w:rPr>
          <w:rFonts w:hint="eastAsia"/>
          <w:lang w:val="en-US" w:eastAsia="zh-CN"/>
        </w:rPr>
        <w:t>业务流程</w:t>
      </w:r>
      <w:bookmarkEnd w:id="13"/>
    </w:p>
    <w:p>
      <w:pPr>
        <w:rPr>
          <w:rFonts w:hint="eastAsia" w:ascii="Arial" w:hAnsi="Arial" w:eastAsia="微软雅黑" w:cs="Times New Roman"/>
          <w:kern w:val="2"/>
          <w:sz w:val="22"/>
          <w:szCs w:val="21"/>
          <w:lang w:val="en-US" w:eastAsia="zh-CN" w:bidi="ar-SA"/>
        </w:rPr>
      </w:pPr>
      <w:r>
        <w:rPr>
          <w:rFonts w:hint="eastAsia"/>
          <w:b/>
          <w:bCs/>
          <w:lang w:val="en-US" w:eastAsia="zh-CN"/>
        </w:rPr>
        <w:t>基础数据</w:t>
      </w:r>
    </w:p>
    <w:p>
      <w:pPr>
        <w:bidi w:val="0"/>
        <w:rPr>
          <w:sz w:val="22"/>
        </w:rPr>
      </w:pPr>
      <w:r>
        <w:rPr>
          <w:sz w:val="22"/>
        </w:rPr>
        <w:drawing>
          <wp:inline distT="0" distB="0" distL="114300" distR="114300">
            <wp:extent cx="1085850" cy="361950"/>
            <wp:effectExtent l="0" t="0" r="0" b="0"/>
            <wp:docPr id="1" name="图片 1" descr="963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63_0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22"/>
          <w:lang w:val="en-US" w:eastAsia="zh-CN"/>
        </w:rPr>
      </w:pPr>
    </w:p>
    <w:p>
      <w:pPr>
        <w:tabs>
          <w:tab w:val="left" w:pos="3997"/>
        </w:tabs>
        <w:bidi w:val="0"/>
        <w:jc w:val="left"/>
        <w:rPr>
          <w:sz w:val="22"/>
        </w:rPr>
      </w:pPr>
      <w:r>
        <w:rPr>
          <w:sz w:val="22"/>
        </w:rPr>
        <w:drawing>
          <wp:inline distT="0" distB="0" distL="114300" distR="114300">
            <wp:extent cx="857250" cy="361950"/>
            <wp:effectExtent l="0" t="0" r="0" b="0"/>
            <wp:docPr id="2" name="图片 2" descr="963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63_0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997"/>
        </w:tabs>
        <w:bidi w:val="0"/>
        <w:ind w:left="0" w:leftChars="0" w:firstLine="440" w:firstLineChars="200"/>
        <w:jc w:val="left"/>
        <w:rPr>
          <w:rFonts w:hint="eastAsia"/>
          <w:b/>
          <w:bCs/>
          <w:sz w:val="22"/>
          <w:lang w:val="en-US" w:eastAsia="zh-CN"/>
        </w:rPr>
      </w:pPr>
      <w:r>
        <w:rPr>
          <w:rFonts w:hint="eastAsia"/>
          <w:b/>
          <w:bCs/>
          <w:sz w:val="22"/>
          <w:lang w:val="en-US" w:eastAsia="zh-CN"/>
        </w:rPr>
        <w:t>业务流程</w:t>
      </w:r>
    </w:p>
    <w:p>
      <w:pPr>
        <w:tabs>
          <w:tab w:val="left" w:pos="3997"/>
        </w:tabs>
        <w:bidi w:val="0"/>
        <w:ind w:left="0" w:leftChars="0" w:firstLine="440" w:firstLineChars="200"/>
        <w:jc w:val="left"/>
        <w:rPr>
          <w:rFonts w:hint="default"/>
          <w:b/>
          <w:bCs/>
          <w:sz w:val="22"/>
          <w:lang w:val="en-US" w:eastAsia="zh-CN"/>
        </w:rPr>
      </w:pPr>
      <w:r>
        <w:drawing>
          <wp:inline distT="0" distB="0" distL="0" distR="0">
            <wp:extent cx="6232525" cy="1550670"/>
            <wp:effectExtent l="0" t="0" r="15875" b="114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252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170" w:footer="113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0" w:firstLineChars="0"/>
      <w:jc w:val="center"/>
    </w:pPr>
    <w:r>
      <w:rPr>
        <w:rFonts w:hint="eastAsia"/>
      </w:rPr>
      <w:t>地址：郑州市金水区未来路街道金水路219号盛润国际广场西塔603-604室</w:t>
    </w:r>
  </w:p>
  <w:p>
    <w:pPr>
      <w:pStyle w:val="16"/>
      <w:ind w:firstLine="360"/>
      <w:jc w:val="center"/>
    </w:pPr>
    <w:r>
      <w:rPr>
        <w:rFonts w:hint="eastAsia"/>
      </w:rPr>
      <w:t>总机：0371-58508931技术服务：0371-58508932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0" w:firstLineChars="0"/>
      <w:jc w:val="center"/>
    </w:pPr>
    <w:r>
      <w:rPr>
        <w:rFonts w:hint="eastAsia"/>
      </w:rPr>
      <w:t>地址：郑州市金水区未来路街道金水路219号盛润国际广场西塔603-604室</w:t>
    </w:r>
  </w:p>
  <w:p>
    <w:pPr>
      <w:pStyle w:val="16"/>
      <w:ind w:firstLine="1080" w:firstLineChars="600"/>
      <w:jc w:val="center"/>
    </w:pPr>
    <w:r>
      <w:tab/>
    </w:r>
    <w:r>
      <w:rPr>
        <w:rFonts w:hint="eastAsia"/>
      </w:rPr>
      <w:t>总机：0371-58508931技术服务：0371-58508932</w:t>
    </w:r>
    <w:r>
      <w:ptab w:relativeTo="margin" w:alignment="right" w:leader="none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360"/>
    </w:pPr>
    <w:r>
      <w:drawing>
        <wp:inline distT="0" distB="0" distL="0" distR="0">
          <wp:extent cx="914400" cy="248285"/>
          <wp:effectExtent l="0" t="0" r="0" b="0"/>
          <wp:docPr id="3" name="图片 4" descr="公司标志透明阴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4" descr="公司标志透明阴影"/>
                  <pic:cNvPicPr>
                    <a:picLocks noChangeAspect="1"/>
                  </pic:cNvPicPr>
                </pic:nvPicPr>
                <pic:blipFill>
                  <a:blip r:embed="rId1">
                    <a:biLevel thresh="75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GlowEdges trans="15000"/>
                            </a14:imgEffect>
                            <a14:imgEffect>
                              <a14:brightnessContrast bright="-40000" contrast="40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1327" cy="261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360"/>
    </w:pPr>
    <w:r>
      <w:drawing>
        <wp:inline distT="0" distB="0" distL="0" distR="0">
          <wp:extent cx="914400" cy="248285"/>
          <wp:effectExtent l="0" t="0" r="0" b="0"/>
          <wp:docPr id="4" name="图片 4" descr="公司标志透明阴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公司标志透明阴影"/>
                  <pic:cNvPicPr>
                    <a:picLocks noChangeAspect="1"/>
                  </pic:cNvPicPr>
                </pic:nvPicPr>
                <pic:blipFill>
                  <a:blip r:embed="rId1">
                    <a:biLevel thresh="75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GlowEdges trans="15000"/>
                            </a14:imgEffect>
                            <a14:imgEffect>
                              <a14:brightnessContrast bright="-40000" contrast="40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1327" cy="261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C32A82E"/>
    <w:multiLevelType w:val="singleLevel"/>
    <w:tmpl w:val="DC32A82E"/>
    <w:lvl w:ilvl="0" w:tentative="0">
      <w:start w:val="1"/>
      <w:numFmt w:val="lowerLetter"/>
      <w:lvlText w:val="%1."/>
      <w:lvlJc w:val="left"/>
      <w:pPr>
        <w:tabs>
          <w:tab w:val="left" w:pos="312"/>
        </w:tabs>
      </w:pPr>
    </w:lvl>
  </w:abstractNum>
  <w:abstractNum w:abstractNumId="1">
    <w:nsid w:val="3CE265ED"/>
    <w:multiLevelType w:val="multilevel"/>
    <w:tmpl w:val="3CE265ED"/>
    <w:lvl w:ilvl="0" w:tentative="0">
      <w:start w:val="1"/>
      <w:numFmt w:val="decimal"/>
      <w:lvlText w:val="%1)"/>
      <w:lvlJc w:val="left"/>
      <w:pPr>
        <w:ind w:left="860" w:hanging="420"/>
      </w:pPr>
    </w:lvl>
    <w:lvl w:ilvl="1" w:tentative="0">
      <w:start w:val="1"/>
      <w:numFmt w:val="lowerLetter"/>
      <w:lvlText w:val="%2)"/>
      <w:lvlJc w:val="left"/>
      <w:pPr>
        <w:ind w:left="1280" w:hanging="420"/>
      </w:pPr>
    </w:lvl>
    <w:lvl w:ilvl="2" w:tentative="0">
      <w:start w:val="1"/>
      <w:numFmt w:val="lowerRoman"/>
      <w:lvlText w:val="%3."/>
      <w:lvlJc w:val="right"/>
      <w:pPr>
        <w:ind w:left="1700" w:hanging="420"/>
      </w:pPr>
    </w:lvl>
    <w:lvl w:ilvl="3" w:tentative="0">
      <w:start w:val="1"/>
      <w:numFmt w:val="decimal"/>
      <w:lvlText w:val="%4."/>
      <w:lvlJc w:val="left"/>
      <w:pPr>
        <w:ind w:left="2120" w:hanging="420"/>
      </w:pPr>
    </w:lvl>
    <w:lvl w:ilvl="4" w:tentative="0">
      <w:start w:val="1"/>
      <w:numFmt w:val="lowerLetter"/>
      <w:lvlText w:val="%5)"/>
      <w:lvlJc w:val="left"/>
      <w:pPr>
        <w:ind w:left="2540" w:hanging="420"/>
      </w:pPr>
    </w:lvl>
    <w:lvl w:ilvl="5" w:tentative="0">
      <w:start w:val="1"/>
      <w:numFmt w:val="lowerRoman"/>
      <w:lvlText w:val="%6."/>
      <w:lvlJc w:val="right"/>
      <w:pPr>
        <w:ind w:left="2960" w:hanging="420"/>
      </w:pPr>
    </w:lvl>
    <w:lvl w:ilvl="6" w:tentative="0">
      <w:start w:val="1"/>
      <w:numFmt w:val="decimal"/>
      <w:lvlText w:val="%7."/>
      <w:lvlJc w:val="left"/>
      <w:pPr>
        <w:ind w:left="3380" w:hanging="420"/>
      </w:pPr>
    </w:lvl>
    <w:lvl w:ilvl="7" w:tentative="0">
      <w:start w:val="1"/>
      <w:numFmt w:val="lowerLetter"/>
      <w:lvlText w:val="%8)"/>
      <w:lvlJc w:val="left"/>
      <w:pPr>
        <w:ind w:left="3800" w:hanging="420"/>
      </w:pPr>
    </w:lvl>
    <w:lvl w:ilvl="8" w:tentative="0">
      <w:start w:val="1"/>
      <w:numFmt w:val="lowerRoman"/>
      <w:lvlText w:val="%9."/>
      <w:lvlJc w:val="right"/>
      <w:pPr>
        <w:ind w:left="4220" w:hanging="420"/>
      </w:pPr>
    </w:lvl>
  </w:abstractNum>
  <w:abstractNum w:abstractNumId="2">
    <w:nsid w:val="46EE5CD2"/>
    <w:multiLevelType w:val="multilevel"/>
    <w:tmpl w:val="46EE5CD2"/>
    <w:lvl w:ilvl="0" w:tentative="0">
      <w:start w:val="1"/>
      <w:numFmt w:val="bullet"/>
      <w:lvlText w:val=""/>
      <w:lvlJc w:val="left"/>
      <w:pPr>
        <w:tabs>
          <w:tab w:val="left" w:pos="1039"/>
        </w:tabs>
        <w:ind w:left="1039" w:hanging="420"/>
      </w:pPr>
      <w:rPr>
        <w:rFonts w:hint="default" w:ascii="Wingdings" w:hAnsi="Wingdings"/>
      </w:rPr>
    </w:lvl>
    <w:lvl w:ilvl="1" w:tentative="0">
      <w:start w:val="1"/>
      <w:numFmt w:val="bullet"/>
      <w:pStyle w:val="43"/>
      <w:lvlText w:val=""/>
      <w:lvlJc w:val="left"/>
      <w:pPr>
        <w:tabs>
          <w:tab w:val="left" w:pos="1459"/>
        </w:tabs>
        <w:ind w:left="1459" w:hanging="420"/>
      </w:pPr>
      <w:rPr>
        <w:rFonts w:hint="default" w:ascii="Wingdings" w:hAnsi="Wingdings"/>
      </w:rPr>
    </w:lvl>
    <w:lvl w:ilvl="2" w:tentative="0">
      <w:start w:val="1"/>
      <w:numFmt w:val="bullet"/>
      <w:pStyle w:val="44"/>
      <w:lvlText w:val=""/>
      <w:lvlJc w:val="left"/>
      <w:pPr>
        <w:tabs>
          <w:tab w:val="left" w:pos="1879"/>
        </w:tabs>
        <w:ind w:left="1879" w:hanging="420"/>
      </w:pPr>
      <w:rPr>
        <w:rFonts w:hint="default" w:ascii="Wingdings" w:hAnsi="Wingdings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4DD409A7"/>
    <w:multiLevelType w:val="multilevel"/>
    <w:tmpl w:val="4DD409A7"/>
    <w:lvl w:ilvl="0" w:tentative="0">
      <w:start w:val="1"/>
      <w:numFmt w:val="bullet"/>
      <w:pStyle w:val="42"/>
      <w:lvlText w:val=""/>
      <w:lvlJc w:val="left"/>
      <w:pPr>
        <w:tabs>
          <w:tab w:val="left" w:pos="1157"/>
        </w:tabs>
        <w:ind w:left="1157" w:hanging="420"/>
      </w:pPr>
      <w:rPr>
        <w:rFonts w:hint="default" w:ascii="Wingdings" w:hAnsi="Wingdings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>
    <w:nsid w:val="6CCD441C"/>
    <w:multiLevelType w:val="multilevel"/>
    <w:tmpl w:val="6CCD441C"/>
    <w:lvl w:ilvl="0" w:tentative="0">
      <w:start w:val="1"/>
      <w:numFmt w:val="decimal"/>
      <w:pStyle w:val="2"/>
      <w:lvlText w:val="%1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425" w:hanging="283"/>
      </w:pPr>
      <w:rPr>
        <w:rFonts w:hint="eastAsia"/>
        <w:b/>
        <w:bCs w:val="0"/>
      </w:rPr>
    </w:lvl>
    <w:lvl w:ilvl="2" w:tentative="0">
      <w:start w:val="1"/>
      <w:numFmt w:val="decimal"/>
      <w:lvlText w:val="%1.%2.%3"/>
      <w:lvlJc w:val="left"/>
      <w:pPr>
        <w:ind w:left="567" w:firstLine="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567" w:firstLine="28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5">
    <w:nsid w:val="7F495F5A"/>
    <w:multiLevelType w:val="multilevel"/>
    <w:tmpl w:val="7F495F5A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pStyle w:val="4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documentProtection w:enforcement="0"/>
  <w:defaultTabStop w:val="420"/>
  <w:drawingGridHorizontalSpacing w:val="11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8B515C"/>
    <w:rsid w:val="000004A7"/>
    <w:rsid w:val="000053FB"/>
    <w:rsid w:val="00006139"/>
    <w:rsid w:val="000064C3"/>
    <w:rsid w:val="000108D1"/>
    <w:rsid w:val="0001328C"/>
    <w:rsid w:val="00014069"/>
    <w:rsid w:val="00015085"/>
    <w:rsid w:val="00021157"/>
    <w:rsid w:val="00027159"/>
    <w:rsid w:val="000271AD"/>
    <w:rsid w:val="00031ADD"/>
    <w:rsid w:val="000321AB"/>
    <w:rsid w:val="00042E69"/>
    <w:rsid w:val="00045D2A"/>
    <w:rsid w:val="00047485"/>
    <w:rsid w:val="00050CC1"/>
    <w:rsid w:val="00052A52"/>
    <w:rsid w:val="000549E5"/>
    <w:rsid w:val="00055C63"/>
    <w:rsid w:val="00056885"/>
    <w:rsid w:val="00057087"/>
    <w:rsid w:val="00060C6F"/>
    <w:rsid w:val="00061EBF"/>
    <w:rsid w:val="00062D5C"/>
    <w:rsid w:val="00067F62"/>
    <w:rsid w:val="00071658"/>
    <w:rsid w:val="00072E65"/>
    <w:rsid w:val="00076A26"/>
    <w:rsid w:val="00077090"/>
    <w:rsid w:val="000779C5"/>
    <w:rsid w:val="000836AF"/>
    <w:rsid w:val="0008464D"/>
    <w:rsid w:val="0009163E"/>
    <w:rsid w:val="0009368A"/>
    <w:rsid w:val="000957D8"/>
    <w:rsid w:val="000A0258"/>
    <w:rsid w:val="000B4C83"/>
    <w:rsid w:val="000B75B7"/>
    <w:rsid w:val="000C16D2"/>
    <w:rsid w:val="000C37D3"/>
    <w:rsid w:val="000C5B7C"/>
    <w:rsid w:val="000C6BF6"/>
    <w:rsid w:val="000C7741"/>
    <w:rsid w:val="000D4D06"/>
    <w:rsid w:val="000D4EEE"/>
    <w:rsid w:val="000D5AD5"/>
    <w:rsid w:val="000D62B5"/>
    <w:rsid w:val="000E0135"/>
    <w:rsid w:val="000E1932"/>
    <w:rsid w:val="000E1E63"/>
    <w:rsid w:val="000E4098"/>
    <w:rsid w:val="000F0A18"/>
    <w:rsid w:val="000F636E"/>
    <w:rsid w:val="000F6C81"/>
    <w:rsid w:val="000F7388"/>
    <w:rsid w:val="000F7CB0"/>
    <w:rsid w:val="00100EEA"/>
    <w:rsid w:val="00102CE4"/>
    <w:rsid w:val="00105B65"/>
    <w:rsid w:val="00106E13"/>
    <w:rsid w:val="00113859"/>
    <w:rsid w:val="0011482B"/>
    <w:rsid w:val="00114FF3"/>
    <w:rsid w:val="00117F2E"/>
    <w:rsid w:val="001212AA"/>
    <w:rsid w:val="001224D4"/>
    <w:rsid w:val="001267F2"/>
    <w:rsid w:val="001301F3"/>
    <w:rsid w:val="001313A9"/>
    <w:rsid w:val="00131BCC"/>
    <w:rsid w:val="00131FBB"/>
    <w:rsid w:val="0013253D"/>
    <w:rsid w:val="00134DE3"/>
    <w:rsid w:val="00135279"/>
    <w:rsid w:val="00135828"/>
    <w:rsid w:val="0013713C"/>
    <w:rsid w:val="00140F20"/>
    <w:rsid w:val="00146FA4"/>
    <w:rsid w:val="001537B8"/>
    <w:rsid w:val="001559AC"/>
    <w:rsid w:val="0016062C"/>
    <w:rsid w:val="00160860"/>
    <w:rsid w:val="00161664"/>
    <w:rsid w:val="00161986"/>
    <w:rsid w:val="00163C5A"/>
    <w:rsid w:val="0016482A"/>
    <w:rsid w:val="0016502C"/>
    <w:rsid w:val="0016771C"/>
    <w:rsid w:val="00171DAE"/>
    <w:rsid w:val="001750CC"/>
    <w:rsid w:val="00177B0F"/>
    <w:rsid w:val="00177D58"/>
    <w:rsid w:val="00180868"/>
    <w:rsid w:val="001808DF"/>
    <w:rsid w:val="00184FD4"/>
    <w:rsid w:val="00186D79"/>
    <w:rsid w:val="00190F7F"/>
    <w:rsid w:val="00191F72"/>
    <w:rsid w:val="00197EB1"/>
    <w:rsid w:val="001A0C7F"/>
    <w:rsid w:val="001A27CA"/>
    <w:rsid w:val="001A33C0"/>
    <w:rsid w:val="001A40FA"/>
    <w:rsid w:val="001B7BE5"/>
    <w:rsid w:val="001C07CC"/>
    <w:rsid w:val="001C327C"/>
    <w:rsid w:val="001D2698"/>
    <w:rsid w:val="001D27C3"/>
    <w:rsid w:val="001D2B21"/>
    <w:rsid w:val="001D44CB"/>
    <w:rsid w:val="001D57E1"/>
    <w:rsid w:val="001E1A50"/>
    <w:rsid w:val="001E2D24"/>
    <w:rsid w:val="001E312B"/>
    <w:rsid w:val="001E689E"/>
    <w:rsid w:val="001E6D87"/>
    <w:rsid w:val="001F0E22"/>
    <w:rsid w:val="001F2417"/>
    <w:rsid w:val="001F5B76"/>
    <w:rsid w:val="001F611E"/>
    <w:rsid w:val="001F6A37"/>
    <w:rsid w:val="002014AC"/>
    <w:rsid w:val="00212EED"/>
    <w:rsid w:val="00215B03"/>
    <w:rsid w:val="002161D1"/>
    <w:rsid w:val="002167BC"/>
    <w:rsid w:val="002204E2"/>
    <w:rsid w:val="00222EF2"/>
    <w:rsid w:val="002236F3"/>
    <w:rsid w:val="00226BFB"/>
    <w:rsid w:val="00227107"/>
    <w:rsid w:val="002275F2"/>
    <w:rsid w:val="00230814"/>
    <w:rsid w:val="002329A5"/>
    <w:rsid w:val="0023402B"/>
    <w:rsid w:val="00234F16"/>
    <w:rsid w:val="002354D7"/>
    <w:rsid w:val="00237044"/>
    <w:rsid w:val="00237616"/>
    <w:rsid w:val="00240528"/>
    <w:rsid w:val="002434CA"/>
    <w:rsid w:val="00243F8A"/>
    <w:rsid w:val="00244CF2"/>
    <w:rsid w:val="00250073"/>
    <w:rsid w:val="00252241"/>
    <w:rsid w:val="0025658A"/>
    <w:rsid w:val="002572F1"/>
    <w:rsid w:val="00257D9A"/>
    <w:rsid w:val="0026473D"/>
    <w:rsid w:val="00265258"/>
    <w:rsid w:val="002653D3"/>
    <w:rsid w:val="00267D8B"/>
    <w:rsid w:val="002713F9"/>
    <w:rsid w:val="00271E6A"/>
    <w:rsid w:val="00273E78"/>
    <w:rsid w:val="002768C2"/>
    <w:rsid w:val="00276CAE"/>
    <w:rsid w:val="00280E9D"/>
    <w:rsid w:val="00284E9C"/>
    <w:rsid w:val="00290E1A"/>
    <w:rsid w:val="00293974"/>
    <w:rsid w:val="00295F41"/>
    <w:rsid w:val="002A16A8"/>
    <w:rsid w:val="002A21DD"/>
    <w:rsid w:val="002A24E0"/>
    <w:rsid w:val="002A29AE"/>
    <w:rsid w:val="002B20CD"/>
    <w:rsid w:val="002B305A"/>
    <w:rsid w:val="002B3CC0"/>
    <w:rsid w:val="002B470A"/>
    <w:rsid w:val="002B63F2"/>
    <w:rsid w:val="002C0E36"/>
    <w:rsid w:val="002C0EE7"/>
    <w:rsid w:val="002C30D1"/>
    <w:rsid w:val="002C3922"/>
    <w:rsid w:val="002C4837"/>
    <w:rsid w:val="002D1E0F"/>
    <w:rsid w:val="002D41B6"/>
    <w:rsid w:val="002E4D5B"/>
    <w:rsid w:val="002E5ACB"/>
    <w:rsid w:val="002E6EA7"/>
    <w:rsid w:val="002E7626"/>
    <w:rsid w:val="002F0191"/>
    <w:rsid w:val="002F0CA3"/>
    <w:rsid w:val="002F0DEE"/>
    <w:rsid w:val="002F28F9"/>
    <w:rsid w:val="002F2ABD"/>
    <w:rsid w:val="002F3CCF"/>
    <w:rsid w:val="002F5689"/>
    <w:rsid w:val="002F5CD6"/>
    <w:rsid w:val="00300979"/>
    <w:rsid w:val="00303803"/>
    <w:rsid w:val="0030518E"/>
    <w:rsid w:val="0030599D"/>
    <w:rsid w:val="00305B89"/>
    <w:rsid w:val="00306DEB"/>
    <w:rsid w:val="00313D41"/>
    <w:rsid w:val="003204F3"/>
    <w:rsid w:val="003213BE"/>
    <w:rsid w:val="00325A43"/>
    <w:rsid w:val="003276C1"/>
    <w:rsid w:val="00327AB2"/>
    <w:rsid w:val="00332B11"/>
    <w:rsid w:val="00334DE9"/>
    <w:rsid w:val="003361AC"/>
    <w:rsid w:val="0033636E"/>
    <w:rsid w:val="0033704D"/>
    <w:rsid w:val="00342BE5"/>
    <w:rsid w:val="00343C04"/>
    <w:rsid w:val="00346580"/>
    <w:rsid w:val="003470C4"/>
    <w:rsid w:val="00350DE3"/>
    <w:rsid w:val="00351E8C"/>
    <w:rsid w:val="00355852"/>
    <w:rsid w:val="00357698"/>
    <w:rsid w:val="00362184"/>
    <w:rsid w:val="00363B57"/>
    <w:rsid w:val="00371517"/>
    <w:rsid w:val="00381E85"/>
    <w:rsid w:val="00382193"/>
    <w:rsid w:val="003847E8"/>
    <w:rsid w:val="00386385"/>
    <w:rsid w:val="00386B81"/>
    <w:rsid w:val="00386BAB"/>
    <w:rsid w:val="0038760B"/>
    <w:rsid w:val="00397BED"/>
    <w:rsid w:val="003A2AC3"/>
    <w:rsid w:val="003A3CB5"/>
    <w:rsid w:val="003A425D"/>
    <w:rsid w:val="003A4910"/>
    <w:rsid w:val="003A6187"/>
    <w:rsid w:val="003B2543"/>
    <w:rsid w:val="003B6255"/>
    <w:rsid w:val="003B635D"/>
    <w:rsid w:val="003C7AD6"/>
    <w:rsid w:val="003D0736"/>
    <w:rsid w:val="003D0869"/>
    <w:rsid w:val="003E1F50"/>
    <w:rsid w:val="003E6C27"/>
    <w:rsid w:val="003F31C6"/>
    <w:rsid w:val="003F3E5F"/>
    <w:rsid w:val="003F5718"/>
    <w:rsid w:val="003F5ED0"/>
    <w:rsid w:val="003F706A"/>
    <w:rsid w:val="003F7A57"/>
    <w:rsid w:val="004002B8"/>
    <w:rsid w:val="004035F4"/>
    <w:rsid w:val="0040418C"/>
    <w:rsid w:val="00404B4A"/>
    <w:rsid w:val="00404D16"/>
    <w:rsid w:val="004068C1"/>
    <w:rsid w:val="004120C9"/>
    <w:rsid w:val="0041361A"/>
    <w:rsid w:val="00416E67"/>
    <w:rsid w:val="004220A8"/>
    <w:rsid w:val="00425230"/>
    <w:rsid w:val="00425E55"/>
    <w:rsid w:val="00425EB1"/>
    <w:rsid w:val="00426ECC"/>
    <w:rsid w:val="00427367"/>
    <w:rsid w:val="004328CA"/>
    <w:rsid w:val="00434F40"/>
    <w:rsid w:val="00440116"/>
    <w:rsid w:val="00442BAD"/>
    <w:rsid w:val="00444931"/>
    <w:rsid w:val="00444E5B"/>
    <w:rsid w:val="00447AB2"/>
    <w:rsid w:val="00455EDD"/>
    <w:rsid w:val="00466FDD"/>
    <w:rsid w:val="00467798"/>
    <w:rsid w:val="004679DB"/>
    <w:rsid w:val="00471D7C"/>
    <w:rsid w:val="00472515"/>
    <w:rsid w:val="004733B2"/>
    <w:rsid w:val="004760F8"/>
    <w:rsid w:val="004805E0"/>
    <w:rsid w:val="00483EB4"/>
    <w:rsid w:val="00484CE0"/>
    <w:rsid w:val="004857CA"/>
    <w:rsid w:val="00485CC1"/>
    <w:rsid w:val="00486666"/>
    <w:rsid w:val="00487E74"/>
    <w:rsid w:val="004902D7"/>
    <w:rsid w:val="004909BA"/>
    <w:rsid w:val="00492672"/>
    <w:rsid w:val="00493250"/>
    <w:rsid w:val="004935F3"/>
    <w:rsid w:val="004941DB"/>
    <w:rsid w:val="004976E3"/>
    <w:rsid w:val="004A0769"/>
    <w:rsid w:val="004A28DB"/>
    <w:rsid w:val="004A4925"/>
    <w:rsid w:val="004A5827"/>
    <w:rsid w:val="004C4082"/>
    <w:rsid w:val="004C4360"/>
    <w:rsid w:val="004D0E91"/>
    <w:rsid w:val="004D162C"/>
    <w:rsid w:val="004D23DA"/>
    <w:rsid w:val="004D2D11"/>
    <w:rsid w:val="004D349D"/>
    <w:rsid w:val="004E21B0"/>
    <w:rsid w:val="004E6403"/>
    <w:rsid w:val="004E6BD5"/>
    <w:rsid w:val="004F23B5"/>
    <w:rsid w:val="004F26C2"/>
    <w:rsid w:val="004F41B2"/>
    <w:rsid w:val="004F5BB2"/>
    <w:rsid w:val="004F6A1C"/>
    <w:rsid w:val="004F7809"/>
    <w:rsid w:val="005005A8"/>
    <w:rsid w:val="00502A74"/>
    <w:rsid w:val="00510031"/>
    <w:rsid w:val="005105E1"/>
    <w:rsid w:val="00510A35"/>
    <w:rsid w:val="00511AA2"/>
    <w:rsid w:val="00512FAA"/>
    <w:rsid w:val="00513332"/>
    <w:rsid w:val="00513C92"/>
    <w:rsid w:val="00515017"/>
    <w:rsid w:val="00520C9B"/>
    <w:rsid w:val="00524349"/>
    <w:rsid w:val="005266EF"/>
    <w:rsid w:val="00527819"/>
    <w:rsid w:val="00531DB5"/>
    <w:rsid w:val="00544E49"/>
    <w:rsid w:val="00545E3F"/>
    <w:rsid w:val="005471D3"/>
    <w:rsid w:val="00552839"/>
    <w:rsid w:val="00552DAD"/>
    <w:rsid w:val="0055491D"/>
    <w:rsid w:val="00554C97"/>
    <w:rsid w:val="00556FF0"/>
    <w:rsid w:val="0055745E"/>
    <w:rsid w:val="0056125A"/>
    <w:rsid w:val="00565388"/>
    <w:rsid w:val="00572AE4"/>
    <w:rsid w:val="00572BAA"/>
    <w:rsid w:val="005753CF"/>
    <w:rsid w:val="005767E1"/>
    <w:rsid w:val="00581468"/>
    <w:rsid w:val="0058206F"/>
    <w:rsid w:val="00582CCB"/>
    <w:rsid w:val="00583139"/>
    <w:rsid w:val="005831C0"/>
    <w:rsid w:val="00583B56"/>
    <w:rsid w:val="00586721"/>
    <w:rsid w:val="00590062"/>
    <w:rsid w:val="00592DFF"/>
    <w:rsid w:val="0059307E"/>
    <w:rsid w:val="00597E13"/>
    <w:rsid w:val="005A1D21"/>
    <w:rsid w:val="005A56C2"/>
    <w:rsid w:val="005B22AD"/>
    <w:rsid w:val="005B6410"/>
    <w:rsid w:val="005B6BDE"/>
    <w:rsid w:val="005B7C1A"/>
    <w:rsid w:val="005C43FD"/>
    <w:rsid w:val="005C7548"/>
    <w:rsid w:val="005C78F7"/>
    <w:rsid w:val="005D1D2B"/>
    <w:rsid w:val="005D2A9A"/>
    <w:rsid w:val="005D65B0"/>
    <w:rsid w:val="005E5557"/>
    <w:rsid w:val="005E5C4F"/>
    <w:rsid w:val="005E638F"/>
    <w:rsid w:val="005E754A"/>
    <w:rsid w:val="005F0CCE"/>
    <w:rsid w:val="005F54E5"/>
    <w:rsid w:val="005F5DD7"/>
    <w:rsid w:val="00601E5C"/>
    <w:rsid w:val="0060490C"/>
    <w:rsid w:val="00605B09"/>
    <w:rsid w:val="00610336"/>
    <w:rsid w:val="00612838"/>
    <w:rsid w:val="00627FBE"/>
    <w:rsid w:val="00633839"/>
    <w:rsid w:val="0063742D"/>
    <w:rsid w:val="006374E3"/>
    <w:rsid w:val="00637AC5"/>
    <w:rsid w:val="0064224A"/>
    <w:rsid w:val="00643F40"/>
    <w:rsid w:val="00646784"/>
    <w:rsid w:val="00646FCC"/>
    <w:rsid w:val="006545C1"/>
    <w:rsid w:val="00654C04"/>
    <w:rsid w:val="00661158"/>
    <w:rsid w:val="0066188D"/>
    <w:rsid w:val="006633AF"/>
    <w:rsid w:val="00666AD8"/>
    <w:rsid w:val="00667238"/>
    <w:rsid w:val="00673317"/>
    <w:rsid w:val="00674F7C"/>
    <w:rsid w:val="00677A22"/>
    <w:rsid w:val="00685CAC"/>
    <w:rsid w:val="0069025A"/>
    <w:rsid w:val="00692AFE"/>
    <w:rsid w:val="00693913"/>
    <w:rsid w:val="006A0072"/>
    <w:rsid w:val="006A1AAC"/>
    <w:rsid w:val="006A33D5"/>
    <w:rsid w:val="006A39FD"/>
    <w:rsid w:val="006A3E2C"/>
    <w:rsid w:val="006A403D"/>
    <w:rsid w:val="006A4A87"/>
    <w:rsid w:val="006A5795"/>
    <w:rsid w:val="006A596A"/>
    <w:rsid w:val="006A60EB"/>
    <w:rsid w:val="006A6BE2"/>
    <w:rsid w:val="006B2805"/>
    <w:rsid w:val="006B60DE"/>
    <w:rsid w:val="006C0D61"/>
    <w:rsid w:val="006C2D0B"/>
    <w:rsid w:val="006C2F0C"/>
    <w:rsid w:val="006C5726"/>
    <w:rsid w:val="006D2519"/>
    <w:rsid w:val="006D2D45"/>
    <w:rsid w:val="006D47A0"/>
    <w:rsid w:val="006D5976"/>
    <w:rsid w:val="006E330D"/>
    <w:rsid w:val="006E4997"/>
    <w:rsid w:val="006F0A37"/>
    <w:rsid w:val="006F3978"/>
    <w:rsid w:val="006F4B38"/>
    <w:rsid w:val="006F4D1E"/>
    <w:rsid w:val="00700F84"/>
    <w:rsid w:val="00701188"/>
    <w:rsid w:val="0070158E"/>
    <w:rsid w:val="00702B7F"/>
    <w:rsid w:val="00704A7E"/>
    <w:rsid w:val="00706411"/>
    <w:rsid w:val="00711FF6"/>
    <w:rsid w:val="00712EDC"/>
    <w:rsid w:val="00715B9E"/>
    <w:rsid w:val="00730A57"/>
    <w:rsid w:val="00731217"/>
    <w:rsid w:val="00733D74"/>
    <w:rsid w:val="00737592"/>
    <w:rsid w:val="00741F13"/>
    <w:rsid w:val="00743669"/>
    <w:rsid w:val="00747B1B"/>
    <w:rsid w:val="00752DAC"/>
    <w:rsid w:val="00752FB3"/>
    <w:rsid w:val="00753493"/>
    <w:rsid w:val="00753B1C"/>
    <w:rsid w:val="00753C81"/>
    <w:rsid w:val="007547BC"/>
    <w:rsid w:val="00755005"/>
    <w:rsid w:val="007550BA"/>
    <w:rsid w:val="007569AE"/>
    <w:rsid w:val="00757178"/>
    <w:rsid w:val="00757F63"/>
    <w:rsid w:val="00760982"/>
    <w:rsid w:val="00763F81"/>
    <w:rsid w:val="007660BA"/>
    <w:rsid w:val="007664D1"/>
    <w:rsid w:val="00766CDC"/>
    <w:rsid w:val="007701C6"/>
    <w:rsid w:val="00771670"/>
    <w:rsid w:val="00773402"/>
    <w:rsid w:val="007756D8"/>
    <w:rsid w:val="007773CE"/>
    <w:rsid w:val="00777F9A"/>
    <w:rsid w:val="00783A86"/>
    <w:rsid w:val="00783C08"/>
    <w:rsid w:val="007845AC"/>
    <w:rsid w:val="00785722"/>
    <w:rsid w:val="00787ED6"/>
    <w:rsid w:val="007908C7"/>
    <w:rsid w:val="00791D59"/>
    <w:rsid w:val="00795D91"/>
    <w:rsid w:val="007A0FE7"/>
    <w:rsid w:val="007A312A"/>
    <w:rsid w:val="007A39FA"/>
    <w:rsid w:val="007A5144"/>
    <w:rsid w:val="007B5998"/>
    <w:rsid w:val="007B6DD4"/>
    <w:rsid w:val="007C3121"/>
    <w:rsid w:val="007C3EAE"/>
    <w:rsid w:val="007C7456"/>
    <w:rsid w:val="007C7474"/>
    <w:rsid w:val="007D6B44"/>
    <w:rsid w:val="007D7CBE"/>
    <w:rsid w:val="007E02C2"/>
    <w:rsid w:val="007E0C35"/>
    <w:rsid w:val="007E28D5"/>
    <w:rsid w:val="007E7979"/>
    <w:rsid w:val="007F09CA"/>
    <w:rsid w:val="007F0E7C"/>
    <w:rsid w:val="007F115B"/>
    <w:rsid w:val="007F1676"/>
    <w:rsid w:val="007F4174"/>
    <w:rsid w:val="007F4C68"/>
    <w:rsid w:val="007F5794"/>
    <w:rsid w:val="007F5DFB"/>
    <w:rsid w:val="007F704D"/>
    <w:rsid w:val="0080217A"/>
    <w:rsid w:val="00803E8E"/>
    <w:rsid w:val="008048A1"/>
    <w:rsid w:val="00804FC2"/>
    <w:rsid w:val="00807A91"/>
    <w:rsid w:val="00810FC6"/>
    <w:rsid w:val="008127C7"/>
    <w:rsid w:val="008170D7"/>
    <w:rsid w:val="00820942"/>
    <w:rsid w:val="00821D22"/>
    <w:rsid w:val="00822AA9"/>
    <w:rsid w:val="0082599B"/>
    <w:rsid w:val="008273E3"/>
    <w:rsid w:val="0083091D"/>
    <w:rsid w:val="0083159A"/>
    <w:rsid w:val="00840119"/>
    <w:rsid w:val="0084126C"/>
    <w:rsid w:val="00843B9A"/>
    <w:rsid w:val="00844C3C"/>
    <w:rsid w:val="00844F50"/>
    <w:rsid w:val="008455CB"/>
    <w:rsid w:val="0084585A"/>
    <w:rsid w:val="00845EE1"/>
    <w:rsid w:val="00851936"/>
    <w:rsid w:val="00852B1D"/>
    <w:rsid w:val="00852EAE"/>
    <w:rsid w:val="008531D5"/>
    <w:rsid w:val="00853C04"/>
    <w:rsid w:val="00853EB0"/>
    <w:rsid w:val="008566C2"/>
    <w:rsid w:val="00857F63"/>
    <w:rsid w:val="00867E28"/>
    <w:rsid w:val="008737E0"/>
    <w:rsid w:val="00874623"/>
    <w:rsid w:val="00874A0C"/>
    <w:rsid w:val="00874C7B"/>
    <w:rsid w:val="00875EF3"/>
    <w:rsid w:val="0088114B"/>
    <w:rsid w:val="00885BCB"/>
    <w:rsid w:val="008900F0"/>
    <w:rsid w:val="008908A3"/>
    <w:rsid w:val="008915EA"/>
    <w:rsid w:val="00896D96"/>
    <w:rsid w:val="008A0589"/>
    <w:rsid w:val="008A317A"/>
    <w:rsid w:val="008A3691"/>
    <w:rsid w:val="008A3858"/>
    <w:rsid w:val="008A3EC2"/>
    <w:rsid w:val="008A4E50"/>
    <w:rsid w:val="008B04E4"/>
    <w:rsid w:val="008B11BD"/>
    <w:rsid w:val="008B23DE"/>
    <w:rsid w:val="008B4A0E"/>
    <w:rsid w:val="008B515C"/>
    <w:rsid w:val="008C4DED"/>
    <w:rsid w:val="008C62CB"/>
    <w:rsid w:val="008C6AE7"/>
    <w:rsid w:val="008D1E86"/>
    <w:rsid w:val="008D3CBC"/>
    <w:rsid w:val="008D4CCA"/>
    <w:rsid w:val="008D5661"/>
    <w:rsid w:val="008D59C2"/>
    <w:rsid w:val="008D6F23"/>
    <w:rsid w:val="008D73AF"/>
    <w:rsid w:val="008E1001"/>
    <w:rsid w:val="008E1706"/>
    <w:rsid w:val="008E2AB4"/>
    <w:rsid w:val="008E3E92"/>
    <w:rsid w:val="008E3ECD"/>
    <w:rsid w:val="008E41D0"/>
    <w:rsid w:val="008E51A1"/>
    <w:rsid w:val="008E7C61"/>
    <w:rsid w:val="008F1F7F"/>
    <w:rsid w:val="008F21A3"/>
    <w:rsid w:val="008F37B4"/>
    <w:rsid w:val="008F51CD"/>
    <w:rsid w:val="008F545F"/>
    <w:rsid w:val="0090371B"/>
    <w:rsid w:val="0090394A"/>
    <w:rsid w:val="009129BE"/>
    <w:rsid w:val="00912C7A"/>
    <w:rsid w:val="00915298"/>
    <w:rsid w:val="00921259"/>
    <w:rsid w:val="00921752"/>
    <w:rsid w:val="009234AF"/>
    <w:rsid w:val="00925543"/>
    <w:rsid w:val="00926DDF"/>
    <w:rsid w:val="009300F7"/>
    <w:rsid w:val="009322A8"/>
    <w:rsid w:val="00933886"/>
    <w:rsid w:val="00934144"/>
    <w:rsid w:val="00940CFA"/>
    <w:rsid w:val="00943C7D"/>
    <w:rsid w:val="00946074"/>
    <w:rsid w:val="00950566"/>
    <w:rsid w:val="00952095"/>
    <w:rsid w:val="00952654"/>
    <w:rsid w:val="00954F5D"/>
    <w:rsid w:val="0096155A"/>
    <w:rsid w:val="00962894"/>
    <w:rsid w:val="00970DE5"/>
    <w:rsid w:val="009724C6"/>
    <w:rsid w:val="00974408"/>
    <w:rsid w:val="0097553A"/>
    <w:rsid w:val="00976588"/>
    <w:rsid w:val="009800BE"/>
    <w:rsid w:val="00980CCA"/>
    <w:rsid w:val="009812A8"/>
    <w:rsid w:val="009816EC"/>
    <w:rsid w:val="009827E1"/>
    <w:rsid w:val="00983609"/>
    <w:rsid w:val="00985696"/>
    <w:rsid w:val="00991736"/>
    <w:rsid w:val="00997DD8"/>
    <w:rsid w:val="009A279E"/>
    <w:rsid w:val="009B2ADD"/>
    <w:rsid w:val="009B34FE"/>
    <w:rsid w:val="009B6F9E"/>
    <w:rsid w:val="009C1E6C"/>
    <w:rsid w:val="009C6CCC"/>
    <w:rsid w:val="009D00B9"/>
    <w:rsid w:val="009D143C"/>
    <w:rsid w:val="009D14B0"/>
    <w:rsid w:val="009D41C6"/>
    <w:rsid w:val="009D5AF1"/>
    <w:rsid w:val="009D5D02"/>
    <w:rsid w:val="009E09CB"/>
    <w:rsid w:val="009E0DE9"/>
    <w:rsid w:val="009E2BF4"/>
    <w:rsid w:val="009E4CDB"/>
    <w:rsid w:val="009E6E01"/>
    <w:rsid w:val="009F02FA"/>
    <w:rsid w:val="009F3DAC"/>
    <w:rsid w:val="009F62A3"/>
    <w:rsid w:val="009F667B"/>
    <w:rsid w:val="00A02A86"/>
    <w:rsid w:val="00A038F4"/>
    <w:rsid w:val="00A03A26"/>
    <w:rsid w:val="00A0445B"/>
    <w:rsid w:val="00A07CD8"/>
    <w:rsid w:val="00A10DD4"/>
    <w:rsid w:val="00A204ED"/>
    <w:rsid w:val="00A2142E"/>
    <w:rsid w:val="00A2198A"/>
    <w:rsid w:val="00A24EEA"/>
    <w:rsid w:val="00A2688D"/>
    <w:rsid w:val="00A279AD"/>
    <w:rsid w:val="00A307C3"/>
    <w:rsid w:val="00A30EC1"/>
    <w:rsid w:val="00A4030B"/>
    <w:rsid w:val="00A4395D"/>
    <w:rsid w:val="00A43D7B"/>
    <w:rsid w:val="00A44A54"/>
    <w:rsid w:val="00A4694F"/>
    <w:rsid w:val="00A46A6E"/>
    <w:rsid w:val="00A505B8"/>
    <w:rsid w:val="00A52AA9"/>
    <w:rsid w:val="00A53269"/>
    <w:rsid w:val="00A5716D"/>
    <w:rsid w:val="00A62DC8"/>
    <w:rsid w:val="00A63C8D"/>
    <w:rsid w:val="00A64868"/>
    <w:rsid w:val="00A64F40"/>
    <w:rsid w:val="00A654D9"/>
    <w:rsid w:val="00A70EDD"/>
    <w:rsid w:val="00A727B8"/>
    <w:rsid w:val="00A72A27"/>
    <w:rsid w:val="00A7390E"/>
    <w:rsid w:val="00A748CF"/>
    <w:rsid w:val="00A759CF"/>
    <w:rsid w:val="00A764F9"/>
    <w:rsid w:val="00A76672"/>
    <w:rsid w:val="00A7731A"/>
    <w:rsid w:val="00A8385D"/>
    <w:rsid w:val="00A843C5"/>
    <w:rsid w:val="00A84A65"/>
    <w:rsid w:val="00A861A5"/>
    <w:rsid w:val="00A91203"/>
    <w:rsid w:val="00A91E6E"/>
    <w:rsid w:val="00AA1CD7"/>
    <w:rsid w:val="00AA48ED"/>
    <w:rsid w:val="00AB0407"/>
    <w:rsid w:val="00AB078E"/>
    <w:rsid w:val="00AB09CD"/>
    <w:rsid w:val="00AB4669"/>
    <w:rsid w:val="00AB732D"/>
    <w:rsid w:val="00AC2149"/>
    <w:rsid w:val="00AC460E"/>
    <w:rsid w:val="00AD3472"/>
    <w:rsid w:val="00AD5A68"/>
    <w:rsid w:val="00AD5F7C"/>
    <w:rsid w:val="00AD6B8B"/>
    <w:rsid w:val="00AD6CD0"/>
    <w:rsid w:val="00AD7856"/>
    <w:rsid w:val="00AE0B16"/>
    <w:rsid w:val="00AE34A6"/>
    <w:rsid w:val="00AE382A"/>
    <w:rsid w:val="00AE3EC6"/>
    <w:rsid w:val="00AF30FD"/>
    <w:rsid w:val="00AF3539"/>
    <w:rsid w:val="00AF3BE6"/>
    <w:rsid w:val="00B02D9A"/>
    <w:rsid w:val="00B0370A"/>
    <w:rsid w:val="00B06397"/>
    <w:rsid w:val="00B12AA5"/>
    <w:rsid w:val="00B1482F"/>
    <w:rsid w:val="00B17497"/>
    <w:rsid w:val="00B20F0B"/>
    <w:rsid w:val="00B27033"/>
    <w:rsid w:val="00B31045"/>
    <w:rsid w:val="00B36ABC"/>
    <w:rsid w:val="00B37572"/>
    <w:rsid w:val="00B42528"/>
    <w:rsid w:val="00B442E1"/>
    <w:rsid w:val="00B507D0"/>
    <w:rsid w:val="00B527C4"/>
    <w:rsid w:val="00B52C67"/>
    <w:rsid w:val="00B6133D"/>
    <w:rsid w:val="00B63482"/>
    <w:rsid w:val="00B66902"/>
    <w:rsid w:val="00B67BC4"/>
    <w:rsid w:val="00B70D0C"/>
    <w:rsid w:val="00B71C16"/>
    <w:rsid w:val="00B73CB3"/>
    <w:rsid w:val="00B810DD"/>
    <w:rsid w:val="00B826C3"/>
    <w:rsid w:val="00B84279"/>
    <w:rsid w:val="00B91D49"/>
    <w:rsid w:val="00B958F1"/>
    <w:rsid w:val="00B968CD"/>
    <w:rsid w:val="00B96D23"/>
    <w:rsid w:val="00BA2395"/>
    <w:rsid w:val="00BA2742"/>
    <w:rsid w:val="00BA3001"/>
    <w:rsid w:val="00BA4756"/>
    <w:rsid w:val="00BA51B7"/>
    <w:rsid w:val="00BB3934"/>
    <w:rsid w:val="00BB48C6"/>
    <w:rsid w:val="00BB5C20"/>
    <w:rsid w:val="00BB5E7D"/>
    <w:rsid w:val="00BB69BE"/>
    <w:rsid w:val="00BC1586"/>
    <w:rsid w:val="00BC3419"/>
    <w:rsid w:val="00BC585A"/>
    <w:rsid w:val="00BC59DD"/>
    <w:rsid w:val="00BD06B5"/>
    <w:rsid w:val="00BD14A0"/>
    <w:rsid w:val="00BD1957"/>
    <w:rsid w:val="00BD2115"/>
    <w:rsid w:val="00BD4A25"/>
    <w:rsid w:val="00BD4BCA"/>
    <w:rsid w:val="00BD5D31"/>
    <w:rsid w:val="00BD6B8D"/>
    <w:rsid w:val="00BE0CD1"/>
    <w:rsid w:val="00BE12DD"/>
    <w:rsid w:val="00BE1EC9"/>
    <w:rsid w:val="00BE5638"/>
    <w:rsid w:val="00BE5BC2"/>
    <w:rsid w:val="00BE6C54"/>
    <w:rsid w:val="00BF0C41"/>
    <w:rsid w:val="00BF10BF"/>
    <w:rsid w:val="00BF1CCA"/>
    <w:rsid w:val="00BF2C99"/>
    <w:rsid w:val="00BF34CE"/>
    <w:rsid w:val="00BF464A"/>
    <w:rsid w:val="00BF5441"/>
    <w:rsid w:val="00BF55AB"/>
    <w:rsid w:val="00C00254"/>
    <w:rsid w:val="00C005CB"/>
    <w:rsid w:val="00C03BA9"/>
    <w:rsid w:val="00C06856"/>
    <w:rsid w:val="00C106B6"/>
    <w:rsid w:val="00C1077E"/>
    <w:rsid w:val="00C10992"/>
    <w:rsid w:val="00C10CFA"/>
    <w:rsid w:val="00C124E5"/>
    <w:rsid w:val="00C15049"/>
    <w:rsid w:val="00C1569C"/>
    <w:rsid w:val="00C17054"/>
    <w:rsid w:val="00C22801"/>
    <w:rsid w:val="00C2458E"/>
    <w:rsid w:val="00C25F1D"/>
    <w:rsid w:val="00C274BD"/>
    <w:rsid w:val="00C30281"/>
    <w:rsid w:val="00C30B19"/>
    <w:rsid w:val="00C30F85"/>
    <w:rsid w:val="00C31EF1"/>
    <w:rsid w:val="00C32301"/>
    <w:rsid w:val="00C33BAF"/>
    <w:rsid w:val="00C350DB"/>
    <w:rsid w:val="00C35A17"/>
    <w:rsid w:val="00C35BCC"/>
    <w:rsid w:val="00C3690C"/>
    <w:rsid w:val="00C3769E"/>
    <w:rsid w:val="00C377CC"/>
    <w:rsid w:val="00C40218"/>
    <w:rsid w:val="00C43A5F"/>
    <w:rsid w:val="00C46ED4"/>
    <w:rsid w:val="00C5413F"/>
    <w:rsid w:val="00C55D52"/>
    <w:rsid w:val="00C56ABA"/>
    <w:rsid w:val="00C60C2B"/>
    <w:rsid w:val="00C617FD"/>
    <w:rsid w:val="00C61F00"/>
    <w:rsid w:val="00C6465A"/>
    <w:rsid w:val="00C64EED"/>
    <w:rsid w:val="00C6510C"/>
    <w:rsid w:val="00C6535E"/>
    <w:rsid w:val="00C7263E"/>
    <w:rsid w:val="00C74167"/>
    <w:rsid w:val="00C7500E"/>
    <w:rsid w:val="00C8056A"/>
    <w:rsid w:val="00C84374"/>
    <w:rsid w:val="00C84F97"/>
    <w:rsid w:val="00C86467"/>
    <w:rsid w:val="00C91A55"/>
    <w:rsid w:val="00C92230"/>
    <w:rsid w:val="00C9234D"/>
    <w:rsid w:val="00C95EC7"/>
    <w:rsid w:val="00CA1B57"/>
    <w:rsid w:val="00CA2101"/>
    <w:rsid w:val="00CA2ADF"/>
    <w:rsid w:val="00CA5109"/>
    <w:rsid w:val="00CA7715"/>
    <w:rsid w:val="00CB037F"/>
    <w:rsid w:val="00CB0F84"/>
    <w:rsid w:val="00CB204B"/>
    <w:rsid w:val="00CB3B82"/>
    <w:rsid w:val="00CB63B5"/>
    <w:rsid w:val="00CC065C"/>
    <w:rsid w:val="00CC3005"/>
    <w:rsid w:val="00CC3D21"/>
    <w:rsid w:val="00CC72A0"/>
    <w:rsid w:val="00CD27E2"/>
    <w:rsid w:val="00CD2C39"/>
    <w:rsid w:val="00CD3443"/>
    <w:rsid w:val="00CD6661"/>
    <w:rsid w:val="00CD6C2B"/>
    <w:rsid w:val="00CD7943"/>
    <w:rsid w:val="00CE2CFB"/>
    <w:rsid w:val="00CE73A5"/>
    <w:rsid w:val="00CF2C9D"/>
    <w:rsid w:val="00CF4450"/>
    <w:rsid w:val="00CF6A48"/>
    <w:rsid w:val="00CF7AD0"/>
    <w:rsid w:val="00D00FB4"/>
    <w:rsid w:val="00D01CE8"/>
    <w:rsid w:val="00D041C8"/>
    <w:rsid w:val="00D04350"/>
    <w:rsid w:val="00D06340"/>
    <w:rsid w:val="00D10E9A"/>
    <w:rsid w:val="00D1143B"/>
    <w:rsid w:val="00D11FAF"/>
    <w:rsid w:val="00D14948"/>
    <w:rsid w:val="00D1728E"/>
    <w:rsid w:val="00D172F1"/>
    <w:rsid w:val="00D20ADE"/>
    <w:rsid w:val="00D2152D"/>
    <w:rsid w:val="00D23A54"/>
    <w:rsid w:val="00D267CB"/>
    <w:rsid w:val="00D26853"/>
    <w:rsid w:val="00D30236"/>
    <w:rsid w:val="00D335E4"/>
    <w:rsid w:val="00D36223"/>
    <w:rsid w:val="00D365BA"/>
    <w:rsid w:val="00D36822"/>
    <w:rsid w:val="00D36F70"/>
    <w:rsid w:val="00D37338"/>
    <w:rsid w:val="00D3799E"/>
    <w:rsid w:val="00D42D64"/>
    <w:rsid w:val="00D452EB"/>
    <w:rsid w:val="00D45423"/>
    <w:rsid w:val="00D460E5"/>
    <w:rsid w:val="00D5209E"/>
    <w:rsid w:val="00D53111"/>
    <w:rsid w:val="00D55DB0"/>
    <w:rsid w:val="00D567AF"/>
    <w:rsid w:val="00D60B36"/>
    <w:rsid w:val="00D61834"/>
    <w:rsid w:val="00D6284D"/>
    <w:rsid w:val="00D66DF1"/>
    <w:rsid w:val="00D70387"/>
    <w:rsid w:val="00D7227D"/>
    <w:rsid w:val="00D75EFE"/>
    <w:rsid w:val="00D773A4"/>
    <w:rsid w:val="00D82603"/>
    <w:rsid w:val="00D83CF5"/>
    <w:rsid w:val="00D843CA"/>
    <w:rsid w:val="00D86BFA"/>
    <w:rsid w:val="00D929FE"/>
    <w:rsid w:val="00D941A4"/>
    <w:rsid w:val="00D96AF3"/>
    <w:rsid w:val="00DA2CD0"/>
    <w:rsid w:val="00DA3F94"/>
    <w:rsid w:val="00DA40EF"/>
    <w:rsid w:val="00DA49E3"/>
    <w:rsid w:val="00DA4D4A"/>
    <w:rsid w:val="00DA4F76"/>
    <w:rsid w:val="00DB0B79"/>
    <w:rsid w:val="00DB32C2"/>
    <w:rsid w:val="00DB3444"/>
    <w:rsid w:val="00DB3890"/>
    <w:rsid w:val="00DB72EE"/>
    <w:rsid w:val="00DC164B"/>
    <w:rsid w:val="00DC2355"/>
    <w:rsid w:val="00DC43A7"/>
    <w:rsid w:val="00DC5B4A"/>
    <w:rsid w:val="00DC7288"/>
    <w:rsid w:val="00DD1632"/>
    <w:rsid w:val="00DD39BD"/>
    <w:rsid w:val="00DD441F"/>
    <w:rsid w:val="00DD6E06"/>
    <w:rsid w:val="00DD7715"/>
    <w:rsid w:val="00DE1158"/>
    <w:rsid w:val="00DE1F3E"/>
    <w:rsid w:val="00DF1E3C"/>
    <w:rsid w:val="00DF225B"/>
    <w:rsid w:val="00DF2898"/>
    <w:rsid w:val="00DF2B5B"/>
    <w:rsid w:val="00DF3574"/>
    <w:rsid w:val="00DF56DD"/>
    <w:rsid w:val="00DF7A9C"/>
    <w:rsid w:val="00E015AF"/>
    <w:rsid w:val="00E0373D"/>
    <w:rsid w:val="00E03CED"/>
    <w:rsid w:val="00E03FC6"/>
    <w:rsid w:val="00E07C87"/>
    <w:rsid w:val="00E11C52"/>
    <w:rsid w:val="00E11FB1"/>
    <w:rsid w:val="00E1279B"/>
    <w:rsid w:val="00E13A1F"/>
    <w:rsid w:val="00E17C80"/>
    <w:rsid w:val="00E2131C"/>
    <w:rsid w:val="00E22508"/>
    <w:rsid w:val="00E25B5F"/>
    <w:rsid w:val="00E27478"/>
    <w:rsid w:val="00E27C63"/>
    <w:rsid w:val="00E31EDF"/>
    <w:rsid w:val="00E328D4"/>
    <w:rsid w:val="00E34010"/>
    <w:rsid w:val="00E44079"/>
    <w:rsid w:val="00E45724"/>
    <w:rsid w:val="00E45FF2"/>
    <w:rsid w:val="00E46B6D"/>
    <w:rsid w:val="00E57F8A"/>
    <w:rsid w:val="00E62EAD"/>
    <w:rsid w:val="00E64FC9"/>
    <w:rsid w:val="00E658B2"/>
    <w:rsid w:val="00E65A59"/>
    <w:rsid w:val="00E67549"/>
    <w:rsid w:val="00E6758A"/>
    <w:rsid w:val="00E676A3"/>
    <w:rsid w:val="00E7010D"/>
    <w:rsid w:val="00E70A20"/>
    <w:rsid w:val="00E73F48"/>
    <w:rsid w:val="00E73F4E"/>
    <w:rsid w:val="00E802D2"/>
    <w:rsid w:val="00E839B5"/>
    <w:rsid w:val="00E846C2"/>
    <w:rsid w:val="00E85009"/>
    <w:rsid w:val="00E90091"/>
    <w:rsid w:val="00E913B9"/>
    <w:rsid w:val="00E947FB"/>
    <w:rsid w:val="00E95449"/>
    <w:rsid w:val="00EA0DE4"/>
    <w:rsid w:val="00EA2D1C"/>
    <w:rsid w:val="00EA3094"/>
    <w:rsid w:val="00EA3E70"/>
    <w:rsid w:val="00EA4F51"/>
    <w:rsid w:val="00EA5507"/>
    <w:rsid w:val="00EA6DD2"/>
    <w:rsid w:val="00EB2F2D"/>
    <w:rsid w:val="00EB36E3"/>
    <w:rsid w:val="00EB3A3D"/>
    <w:rsid w:val="00EB3D3E"/>
    <w:rsid w:val="00EB4AB8"/>
    <w:rsid w:val="00EB4D49"/>
    <w:rsid w:val="00EB7C94"/>
    <w:rsid w:val="00EC1595"/>
    <w:rsid w:val="00EC3885"/>
    <w:rsid w:val="00EC3BF3"/>
    <w:rsid w:val="00EC5F7D"/>
    <w:rsid w:val="00ED03D5"/>
    <w:rsid w:val="00ED04EB"/>
    <w:rsid w:val="00ED296A"/>
    <w:rsid w:val="00ED68A0"/>
    <w:rsid w:val="00EE44E6"/>
    <w:rsid w:val="00EE4606"/>
    <w:rsid w:val="00EE71FC"/>
    <w:rsid w:val="00EE7AFC"/>
    <w:rsid w:val="00EF42C3"/>
    <w:rsid w:val="00EF4605"/>
    <w:rsid w:val="00EF4CB0"/>
    <w:rsid w:val="00EF573F"/>
    <w:rsid w:val="00F01F0E"/>
    <w:rsid w:val="00F04A56"/>
    <w:rsid w:val="00F04AC5"/>
    <w:rsid w:val="00F05197"/>
    <w:rsid w:val="00F057EC"/>
    <w:rsid w:val="00F06015"/>
    <w:rsid w:val="00F06F5C"/>
    <w:rsid w:val="00F07057"/>
    <w:rsid w:val="00F115F0"/>
    <w:rsid w:val="00F123BD"/>
    <w:rsid w:val="00F129D6"/>
    <w:rsid w:val="00F13314"/>
    <w:rsid w:val="00F13E99"/>
    <w:rsid w:val="00F23FD2"/>
    <w:rsid w:val="00F24924"/>
    <w:rsid w:val="00F25C69"/>
    <w:rsid w:val="00F25CD8"/>
    <w:rsid w:val="00F264AE"/>
    <w:rsid w:val="00F30F5B"/>
    <w:rsid w:val="00F35273"/>
    <w:rsid w:val="00F37133"/>
    <w:rsid w:val="00F3757D"/>
    <w:rsid w:val="00F4327E"/>
    <w:rsid w:val="00F434CC"/>
    <w:rsid w:val="00F449C2"/>
    <w:rsid w:val="00F45659"/>
    <w:rsid w:val="00F4676A"/>
    <w:rsid w:val="00F47141"/>
    <w:rsid w:val="00F47473"/>
    <w:rsid w:val="00F506E7"/>
    <w:rsid w:val="00F50E3C"/>
    <w:rsid w:val="00F526CA"/>
    <w:rsid w:val="00F55549"/>
    <w:rsid w:val="00F55750"/>
    <w:rsid w:val="00F56516"/>
    <w:rsid w:val="00F5675D"/>
    <w:rsid w:val="00F57294"/>
    <w:rsid w:val="00F5774D"/>
    <w:rsid w:val="00F63A17"/>
    <w:rsid w:val="00F64215"/>
    <w:rsid w:val="00F65BD9"/>
    <w:rsid w:val="00F663BB"/>
    <w:rsid w:val="00F71506"/>
    <w:rsid w:val="00F71EFC"/>
    <w:rsid w:val="00F76D21"/>
    <w:rsid w:val="00F7730C"/>
    <w:rsid w:val="00F80A86"/>
    <w:rsid w:val="00F830F2"/>
    <w:rsid w:val="00F8370C"/>
    <w:rsid w:val="00F837A9"/>
    <w:rsid w:val="00F86FC0"/>
    <w:rsid w:val="00F94F2D"/>
    <w:rsid w:val="00F96414"/>
    <w:rsid w:val="00F97EC0"/>
    <w:rsid w:val="00FA1F52"/>
    <w:rsid w:val="00FA3909"/>
    <w:rsid w:val="00FA3B28"/>
    <w:rsid w:val="00FB1F56"/>
    <w:rsid w:val="00FB47E8"/>
    <w:rsid w:val="00FB499C"/>
    <w:rsid w:val="00FB5C05"/>
    <w:rsid w:val="00FC3930"/>
    <w:rsid w:val="00FC427B"/>
    <w:rsid w:val="00FC736B"/>
    <w:rsid w:val="00FD7A6C"/>
    <w:rsid w:val="00FD7E1B"/>
    <w:rsid w:val="00FE3177"/>
    <w:rsid w:val="00FE3794"/>
    <w:rsid w:val="00FE4131"/>
    <w:rsid w:val="00FE470B"/>
    <w:rsid w:val="00FE481E"/>
    <w:rsid w:val="00FE5CEC"/>
    <w:rsid w:val="00FF49EA"/>
    <w:rsid w:val="03FC58CA"/>
    <w:rsid w:val="04AC5385"/>
    <w:rsid w:val="07BD079F"/>
    <w:rsid w:val="083B549E"/>
    <w:rsid w:val="08CA6F6E"/>
    <w:rsid w:val="097C3278"/>
    <w:rsid w:val="09FC36D7"/>
    <w:rsid w:val="0BC63BF5"/>
    <w:rsid w:val="0F1D194F"/>
    <w:rsid w:val="0FD61CB1"/>
    <w:rsid w:val="0FFF2516"/>
    <w:rsid w:val="11294F96"/>
    <w:rsid w:val="11813C53"/>
    <w:rsid w:val="11AD5B8A"/>
    <w:rsid w:val="134C3EC5"/>
    <w:rsid w:val="13EA2F89"/>
    <w:rsid w:val="14A911EF"/>
    <w:rsid w:val="14CE1BAF"/>
    <w:rsid w:val="15BA62C6"/>
    <w:rsid w:val="163B747C"/>
    <w:rsid w:val="167636F3"/>
    <w:rsid w:val="17C3233A"/>
    <w:rsid w:val="18134DEC"/>
    <w:rsid w:val="18330F47"/>
    <w:rsid w:val="185549A5"/>
    <w:rsid w:val="18AB2B24"/>
    <w:rsid w:val="19E64C31"/>
    <w:rsid w:val="1B6F2DF6"/>
    <w:rsid w:val="1BA52A69"/>
    <w:rsid w:val="1C510591"/>
    <w:rsid w:val="1EF2455A"/>
    <w:rsid w:val="204B4AA9"/>
    <w:rsid w:val="232D517C"/>
    <w:rsid w:val="2A3C277E"/>
    <w:rsid w:val="2A501440"/>
    <w:rsid w:val="2B200BE7"/>
    <w:rsid w:val="2B551E6D"/>
    <w:rsid w:val="2BDB090D"/>
    <w:rsid w:val="2BF96E05"/>
    <w:rsid w:val="2DEC195A"/>
    <w:rsid w:val="2F0E60E4"/>
    <w:rsid w:val="2F91140A"/>
    <w:rsid w:val="30883B1F"/>
    <w:rsid w:val="327F1815"/>
    <w:rsid w:val="343C412F"/>
    <w:rsid w:val="34F27DA6"/>
    <w:rsid w:val="36D16C58"/>
    <w:rsid w:val="37783157"/>
    <w:rsid w:val="37C10F9D"/>
    <w:rsid w:val="399B4618"/>
    <w:rsid w:val="39FC4F8B"/>
    <w:rsid w:val="3B053F4A"/>
    <w:rsid w:val="3CD626F9"/>
    <w:rsid w:val="3CE74FE0"/>
    <w:rsid w:val="3D8A0499"/>
    <w:rsid w:val="3EC90A7A"/>
    <w:rsid w:val="420759E6"/>
    <w:rsid w:val="46FD4FAC"/>
    <w:rsid w:val="47396B1A"/>
    <w:rsid w:val="4A2D1D09"/>
    <w:rsid w:val="4AA2639A"/>
    <w:rsid w:val="4AD05CDF"/>
    <w:rsid w:val="4E472F0F"/>
    <w:rsid w:val="4E73703B"/>
    <w:rsid w:val="4F9D34EE"/>
    <w:rsid w:val="53D71F39"/>
    <w:rsid w:val="53F63DCF"/>
    <w:rsid w:val="560B7084"/>
    <w:rsid w:val="56EA77EF"/>
    <w:rsid w:val="59111EF7"/>
    <w:rsid w:val="5E4B3A14"/>
    <w:rsid w:val="6268060A"/>
    <w:rsid w:val="63107317"/>
    <w:rsid w:val="63A14884"/>
    <w:rsid w:val="65636D2F"/>
    <w:rsid w:val="6598642B"/>
    <w:rsid w:val="697501E7"/>
    <w:rsid w:val="6BC86B65"/>
    <w:rsid w:val="6C694F3D"/>
    <w:rsid w:val="6D4F1C0C"/>
    <w:rsid w:val="6D5964CC"/>
    <w:rsid w:val="736C5031"/>
    <w:rsid w:val="77423E70"/>
    <w:rsid w:val="77AB689D"/>
    <w:rsid w:val="79124254"/>
    <w:rsid w:val="79FB5AFF"/>
    <w:rsid w:val="7B46595F"/>
    <w:rsid w:val="7B6F14A6"/>
    <w:rsid w:val="7B821873"/>
    <w:rsid w:val="7DD867C6"/>
    <w:rsid w:val="7DFD0EE7"/>
    <w:rsid w:val="7EA20CD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0" w:name="caption"/>
    <w:lsdException w:qFormat="1" w:uiPriority="0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0" w:name="Body Text"/>
    <w:lsdException w:qFormat="1" w:uiPriority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ascii="Arial" w:hAnsi="Arial" w:eastAsia="微软雅黑" w:cs="Times New Roman"/>
      <w:kern w:val="2"/>
      <w:sz w:val="22"/>
      <w:szCs w:val="21"/>
      <w:lang w:val="en-US" w:eastAsia="zh-CN" w:bidi="ar-SA"/>
    </w:rPr>
  </w:style>
  <w:style w:type="paragraph" w:styleId="2">
    <w:name w:val="heading 1"/>
    <w:basedOn w:val="1"/>
    <w:next w:val="1"/>
    <w:link w:val="32"/>
    <w:qFormat/>
    <w:uiPriority w:val="0"/>
    <w:pPr>
      <w:numPr>
        <w:ilvl w:val="0"/>
        <w:numId w:val="1"/>
      </w:numPr>
      <w:ind w:firstLineChars="0"/>
      <w:outlineLvl w:val="0"/>
    </w:pPr>
    <w:rPr>
      <w:rFonts w:ascii="微软雅黑" w:hAnsi="微软雅黑" w:cs="Arial"/>
      <w:b/>
      <w:sz w:val="32"/>
      <w:szCs w:val="32"/>
    </w:rPr>
  </w:style>
  <w:style w:type="paragraph" w:styleId="3">
    <w:name w:val="heading 2"/>
    <w:basedOn w:val="2"/>
    <w:next w:val="1"/>
    <w:link w:val="33"/>
    <w:unhideWhenUsed/>
    <w:qFormat/>
    <w:uiPriority w:val="0"/>
    <w:pPr>
      <w:numPr>
        <w:ilvl w:val="1"/>
      </w:numPr>
      <w:outlineLvl w:val="1"/>
    </w:pPr>
    <w:rPr>
      <w:sz w:val="28"/>
      <w:szCs w:val="28"/>
    </w:rPr>
  </w:style>
  <w:style w:type="paragraph" w:styleId="4">
    <w:name w:val="heading 3"/>
    <w:basedOn w:val="3"/>
    <w:next w:val="1"/>
    <w:link w:val="34"/>
    <w:unhideWhenUsed/>
    <w:qFormat/>
    <w:uiPriority w:val="0"/>
    <w:pPr>
      <w:numPr>
        <w:ilvl w:val="3"/>
        <w:numId w:val="2"/>
      </w:numPr>
      <w:outlineLvl w:val="2"/>
    </w:pPr>
    <w:rPr>
      <w:b w:val="0"/>
      <w:bCs/>
      <w:sz w:val="22"/>
      <w:szCs w:val="22"/>
    </w:rPr>
  </w:style>
  <w:style w:type="paragraph" w:styleId="5">
    <w:name w:val="heading 4"/>
    <w:basedOn w:val="4"/>
    <w:next w:val="1"/>
    <w:link w:val="35"/>
    <w:unhideWhenUsed/>
    <w:qFormat/>
    <w:uiPriority w:val="0"/>
    <w:pPr>
      <w:outlineLvl w:val="3"/>
    </w:pPr>
    <w:rPr>
      <w:sz w:val="24"/>
      <w:szCs w:val="24"/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7"/>
    <w:basedOn w:val="1"/>
    <w:next w:val="1"/>
    <w:unhideWhenUsed/>
    <w:qFormat/>
    <w:uiPriority w:val="39"/>
    <w:pPr>
      <w:ind w:left="1050"/>
      <w:jc w:val="left"/>
    </w:pPr>
    <w:rPr>
      <w:rFonts w:asciiTheme="minorHAnsi" w:hAnsiTheme="minorHAnsi"/>
      <w:sz w:val="20"/>
      <w:szCs w:val="20"/>
    </w:rPr>
  </w:style>
  <w:style w:type="paragraph" w:styleId="7">
    <w:name w:val="caption"/>
    <w:basedOn w:val="1"/>
    <w:next w:val="1"/>
    <w:semiHidden/>
    <w:unhideWhenUsed/>
    <w:qFormat/>
    <w:uiPriority w:val="0"/>
    <w:pPr>
      <w:spacing w:before="152" w:after="160"/>
    </w:pPr>
    <w:rPr>
      <w:rFonts w:cs="Arial"/>
      <w:b/>
      <w:sz w:val="18"/>
      <w:szCs w:val="18"/>
    </w:rPr>
  </w:style>
  <w:style w:type="paragraph" w:styleId="8">
    <w:name w:val="Document Map"/>
    <w:basedOn w:val="1"/>
    <w:link w:val="41"/>
    <w:semiHidden/>
    <w:unhideWhenUsed/>
    <w:qFormat/>
    <w:uiPriority w:val="0"/>
    <w:pPr>
      <w:shd w:val="clear" w:color="auto" w:fill="000080"/>
    </w:pPr>
  </w:style>
  <w:style w:type="paragraph" w:styleId="9">
    <w:name w:val="Body Text"/>
    <w:basedOn w:val="1"/>
    <w:link w:val="38"/>
    <w:semiHidden/>
    <w:unhideWhenUsed/>
    <w:qFormat/>
    <w:uiPriority w:val="0"/>
    <w:pPr>
      <w:spacing w:after="120"/>
    </w:pPr>
  </w:style>
  <w:style w:type="paragraph" w:styleId="10">
    <w:name w:val="Body Text Indent"/>
    <w:basedOn w:val="1"/>
    <w:next w:val="1"/>
    <w:link w:val="39"/>
    <w:semiHidden/>
    <w:unhideWhenUsed/>
    <w:qFormat/>
    <w:uiPriority w:val="0"/>
    <w:rPr>
      <w:rFonts w:cs="Arial"/>
    </w:rPr>
  </w:style>
  <w:style w:type="paragraph" w:styleId="11">
    <w:name w:val="toc 5"/>
    <w:basedOn w:val="1"/>
    <w:next w:val="1"/>
    <w:unhideWhenUsed/>
    <w:qFormat/>
    <w:uiPriority w:val="39"/>
    <w:pPr>
      <w:ind w:left="630"/>
      <w:jc w:val="left"/>
    </w:pPr>
    <w:rPr>
      <w:rFonts w:asciiTheme="minorHAnsi" w:hAnsiTheme="minorHAnsi"/>
      <w:sz w:val="20"/>
      <w:szCs w:val="20"/>
    </w:rPr>
  </w:style>
  <w:style w:type="paragraph" w:styleId="12">
    <w:name w:val="toc 3"/>
    <w:basedOn w:val="1"/>
    <w:next w:val="1"/>
    <w:unhideWhenUsed/>
    <w:qFormat/>
    <w:uiPriority w:val="39"/>
    <w:pPr>
      <w:tabs>
        <w:tab w:val="left" w:pos="1050"/>
        <w:tab w:val="right" w:leader="dot" w:pos="10338"/>
      </w:tabs>
      <w:ind w:left="210"/>
    </w:pPr>
    <w:rPr>
      <w:rFonts w:asciiTheme="minorHAnsi" w:hAnsiTheme="minorHAnsi"/>
      <w:sz w:val="20"/>
      <w:szCs w:val="20"/>
    </w:rPr>
  </w:style>
  <w:style w:type="paragraph" w:styleId="13">
    <w:name w:val="toc 8"/>
    <w:basedOn w:val="1"/>
    <w:next w:val="1"/>
    <w:unhideWhenUsed/>
    <w:qFormat/>
    <w:uiPriority w:val="39"/>
    <w:pPr>
      <w:ind w:left="1260"/>
      <w:jc w:val="left"/>
    </w:pPr>
    <w:rPr>
      <w:rFonts w:asciiTheme="minorHAnsi" w:hAnsiTheme="minorHAnsi"/>
      <w:sz w:val="20"/>
      <w:szCs w:val="20"/>
    </w:rPr>
  </w:style>
  <w:style w:type="paragraph" w:styleId="14">
    <w:name w:val="Date"/>
    <w:basedOn w:val="1"/>
    <w:next w:val="1"/>
    <w:link w:val="40"/>
    <w:semiHidden/>
    <w:unhideWhenUsed/>
    <w:qFormat/>
    <w:uiPriority w:val="0"/>
    <w:pPr>
      <w:ind w:left="100" w:leftChars="2500"/>
    </w:pPr>
  </w:style>
  <w:style w:type="paragraph" w:styleId="15">
    <w:name w:val="Balloon Text"/>
    <w:basedOn w:val="1"/>
    <w:link w:val="52"/>
    <w:semiHidden/>
    <w:unhideWhenUsed/>
    <w:qFormat/>
    <w:uiPriority w:val="99"/>
    <w:rPr>
      <w:sz w:val="18"/>
      <w:szCs w:val="18"/>
    </w:rPr>
  </w:style>
  <w:style w:type="paragraph" w:styleId="16">
    <w:name w:val="footer"/>
    <w:basedOn w:val="1"/>
    <w:link w:val="37"/>
    <w:unhideWhenUsed/>
    <w:qFormat/>
    <w:uiPriority w:val="0"/>
    <w:pPr>
      <w:pBdr>
        <w:top w:val="single" w:color="auto" w:sz="4" w:space="1"/>
      </w:pBd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unhideWhenUsed/>
    <w:qFormat/>
    <w:uiPriority w:val="39"/>
    <w:pPr>
      <w:spacing w:before="360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19">
    <w:name w:val="toc 4"/>
    <w:basedOn w:val="1"/>
    <w:next w:val="1"/>
    <w:unhideWhenUsed/>
    <w:qFormat/>
    <w:uiPriority w:val="39"/>
    <w:pPr>
      <w:ind w:left="420"/>
      <w:jc w:val="left"/>
    </w:pPr>
    <w:rPr>
      <w:rFonts w:asciiTheme="minorHAnsi" w:hAnsiTheme="minorHAnsi"/>
      <w:sz w:val="20"/>
      <w:szCs w:val="20"/>
    </w:rPr>
  </w:style>
  <w:style w:type="paragraph" w:styleId="20">
    <w:name w:val="toc 6"/>
    <w:basedOn w:val="1"/>
    <w:next w:val="1"/>
    <w:unhideWhenUsed/>
    <w:qFormat/>
    <w:uiPriority w:val="39"/>
    <w:pPr>
      <w:ind w:left="840"/>
      <w:jc w:val="left"/>
    </w:pPr>
    <w:rPr>
      <w:rFonts w:asciiTheme="minorHAnsi" w:hAnsiTheme="minorHAnsi"/>
      <w:sz w:val="20"/>
      <w:szCs w:val="20"/>
    </w:rPr>
  </w:style>
  <w:style w:type="paragraph" w:styleId="21">
    <w:name w:val="table of figures"/>
    <w:basedOn w:val="1"/>
    <w:next w:val="1"/>
    <w:semiHidden/>
    <w:unhideWhenUsed/>
    <w:qFormat/>
    <w:uiPriority w:val="0"/>
    <w:pPr>
      <w:ind w:left="420" w:hanging="420"/>
      <w:jc w:val="left"/>
    </w:pPr>
    <w:rPr>
      <w:rFonts w:ascii="Times New Roman" w:hAnsi="Times New Roman"/>
      <w:smallCaps/>
      <w:sz w:val="20"/>
      <w:szCs w:val="20"/>
    </w:rPr>
  </w:style>
  <w:style w:type="paragraph" w:styleId="22">
    <w:name w:val="toc 2"/>
    <w:basedOn w:val="1"/>
    <w:next w:val="1"/>
    <w:unhideWhenUsed/>
    <w:qFormat/>
    <w:uiPriority w:val="39"/>
    <w:pPr>
      <w:spacing w:before="240"/>
      <w:jc w:val="left"/>
    </w:pPr>
    <w:rPr>
      <w:rFonts w:asciiTheme="minorHAnsi" w:hAnsiTheme="minorHAnsi"/>
      <w:b/>
      <w:bCs/>
      <w:sz w:val="20"/>
      <w:szCs w:val="20"/>
    </w:rPr>
  </w:style>
  <w:style w:type="paragraph" w:styleId="23">
    <w:name w:val="toc 9"/>
    <w:basedOn w:val="1"/>
    <w:next w:val="1"/>
    <w:unhideWhenUsed/>
    <w:qFormat/>
    <w:uiPriority w:val="39"/>
    <w:pPr>
      <w:ind w:left="1470"/>
      <w:jc w:val="left"/>
    </w:pPr>
    <w:rPr>
      <w:rFonts w:asciiTheme="minorHAnsi" w:hAnsiTheme="minorHAnsi"/>
      <w:sz w:val="20"/>
      <w:szCs w:val="20"/>
    </w:rPr>
  </w:style>
  <w:style w:type="paragraph" w:styleId="2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26">
    <w:name w:val="Table Grid"/>
    <w:basedOn w:val="2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qFormat/>
    <w:uiPriority w:val="22"/>
    <w:rPr>
      <w:b/>
      <w:bCs/>
    </w:rPr>
  </w:style>
  <w:style w:type="character" w:styleId="29">
    <w:name w:val="page number"/>
    <w:basedOn w:val="27"/>
    <w:semiHidden/>
    <w:unhideWhenUsed/>
    <w:qFormat/>
    <w:uiPriority w:val="0"/>
  </w:style>
  <w:style w:type="character" w:styleId="30">
    <w:name w:val="FollowedHyperlink"/>
    <w:basedOn w:val="27"/>
    <w:semiHidden/>
    <w:unhideWhenUsed/>
    <w:qFormat/>
    <w:uiPriority w:val="99"/>
    <w:rPr>
      <w:color w:val="800080" w:themeColor="followedHyperlink"/>
      <w:u w:val="single"/>
    </w:rPr>
  </w:style>
  <w:style w:type="character" w:styleId="31">
    <w:name w:val="Hyperlink"/>
    <w:basedOn w:val="27"/>
    <w:unhideWhenUsed/>
    <w:qFormat/>
    <w:uiPriority w:val="99"/>
    <w:rPr>
      <w:color w:val="0000FF"/>
      <w:u w:val="single"/>
    </w:rPr>
  </w:style>
  <w:style w:type="character" w:customStyle="1" w:styleId="32">
    <w:name w:val="标题 1 字符"/>
    <w:basedOn w:val="27"/>
    <w:link w:val="2"/>
    <w:qFormat/>
    <w:uiPriority w:val="0"/>
    <w:rPr>
      <w:rFonts w:ascii="微软雅黑" w:hAnsi="微软雅黑" w:eastAsia="微软雅黑" w:cs="Arial"/>
      <w:b/>
      <w:sz w:val="32"/>
      <w:szCs w:val="32"/>
    </w:rPr>
  </w:style>
  <w:style w:type="character" w:customStyle="1" w:styleId="33">
    <w:name w:val="标题 2 字符"/>
    <w:basedOn w:val="27"/>
    <w:link w:val="3"/>
    <w:qFormat/>
    <w:uiPriority w:val="0"/>
    <w:rPr>
      <w:rFonts w:ascii="微软雅黑" w:hAnsi="微软雅黑" w:eastAsia="微软雅黑" w:cs="Arial"/>
      <w:b/>
      <w:sz w:val="28"/>
      <w:szCs w:val="28"/>
    </w:rPr>
  </w:style>
  <w:style w:type="character" w:customStyle="1" w:styleId="34">
    <w:name w:val="标题 3 字符"/>
    <w:basedOn w:val="27"/>
    <w:link w:val="4"/>
    <w:qFormat/>
    <w:uiPriority w:val="0"/>
    <w:rPr>
      <w:rFonts w:ascii="微软雅黑" w:hAnsi="微软雅黑" w:eastAsia="微软雅黑" w:cs="Arial"/>
      <w:bCs/>
      <w:sz w:val="22"/>
    </w:rPr>
  </w:style>
  <w:style w:type="character" w:customStyle="1" w:styleId="35">
    <w:name w:val="标题 4 字符"/>
    <w:basedOn w:val="27"/>
    <w:link w:val="5"/>
    <w:qFormat/>
    <w:uiPriority w:val="0"/>
    <w:rPr>
      <w:rFonts w:ascii="微软雅黑" w:hAnsi="微软雅黑" w:eastAsia="微软雅黑" w:cs="Arial"/>
      <w:bCs/>
      <w:sz w:val="24"/>
      <w:szCs w:val="24"/>
    </w:rPr>
  </w:style>
  <w:style w:type="character" w:customStyle="1" w:styleId="36">
    <w:name w:val="页眉 字符"/>
    <w:basedOn w:val="27"/>
    <w:link w:val="17"/>
    <w:qFormat/>
    <w:uiPriority w:val="99"/>
    <w:rPr>
      <w:rFonts w:ascii="Arial" w:hAnsi="Arial" w:eastAsia="宋体" w:cs="Times New Roman"/>
      <w:sz w:val="18"/>
      <w:szCs w:val="18"/>
    </w:rPr>
  </w:style>
  <w:style w:type="character" w:customStyle="1" w:styleId="37">
    <w:name w:val="页脚 字符"/>
    <w:basedOn w:val="27"/>
    <w:link w:val="16"/>
    <w:qFormat/>
    <w:uiPriority w:val="0"/>
    <w:rPr>
      <w:rFonts w:ascii="Arial" w:hAnsi="Arial" w:eastAsia="宋体" w:cs="Times New Roman"/>
      <w:sz w:val="18"/>
      <w:szCs w:val="18"/>
    </w:rPr>
  </w:style>
  <w:style w:type="character" w:customStyle="1" w:styleId="38">
    <w:name w:val="正文文本 字符"/>
    <w:basedOn w:val="27"/>
    <w:link w:val="9"/>
    <w:semiHidden/>
    <w:qFormat/>
    <w:uiPriority w:val="0"/>
    <w:rPr>
      <w:rFonts w:ascii="Arial" w:hAnsi="Arial" w:eastAsia="宋体" w:cs="Times New Roman"/>
      <w:szCs w:val="21"/>
    </w:rPr>
  </w:style>
  <w:style w:type="character" w:customStyle="1" w:styleId="39">
    <w:name w:val="正文文本缩进 字符"/>
    <w:basedOn w:val="27"/>
    <w:link w:val="10"/>
    <w:semiHidden/>
    <w:qFormat/>
    <w:uiPriority w:val="0"/>
    <w:rPr>
      <w:rFonts w:ascii="Arial" w:hAnsi="Arial" w:eastAsia="宋体" w:cs="Arial"/>
      <w:szCs w:val="21"/>
    </w:rPr>
  </w:style>
  <w:style w:type="character" w:customStyle="1" w:styleId="40">
    <w:name w:val="日期 字符"/>
    <w:basedOn w:val="27"/>
    <w:link w:val="14"/>
    <w:semiHidden/>
    <w:qFormat/>
    <w:uiPriority w:val="0"/>
    <w:rPr>
      <w:rFonts w:ascii="Arial" w:hAnsi="Arial" w:eastAsia="宋体" w:cs="Times New Roman"/>
      <w:szCs w:val="21"/>
    </w:rPr>
  </w:style>
  <w:style w:type="character" w:customStyle="1" w:styleId="41">
    <w:name w:val="文档结构图 字符"/>
    <w:basedOn w:val="27"/>
    <w:link w:val="8"/>
    <w:semiHidden/>
    <w:qFormat/>
    <w:uiPriority w:val="0"/>
    <w:rPr>
      <w:rFonts w:ascii="Arial" w:hAnsi="Arial" w:eastAsia="宋体" w:cs="Times New Roman"/>
      <w:szCs w:val="21"/>
      <w:shd w:val="clear" w:color="auto" w:fill="000080"/>
    </w:rPr>
  </w:style>
  <w:style w:type="paragraph" w:customStyle="1" w:styleId="42">
    <w:name w:val="样式1"/>
    <w:basedOn w:val="1"/>
    <w:qFormat/>
    <w:uiPriority w:val="0"/>
    <w:pPr>
      <w:numPr>
        <w:ilvl w:val="0"/>
        <w:numId w:val="3"/>
      </w:numPr>
      <w:ind w:left="567" w:firstLine="0"/>
    </w:pPr>
  </w:style>
  <w:style w:type="paragraph" w:customStyle="1" w:styleId="43">
    <w:name w:val="样式2"/>
    <w:basedOn w:val="1"/>
    <w:qFormat/>
    <w:uiPriority w:val="0"/>
    <w:pPr>
      <w:numPr>
        <w:ilvl w:val="1"/>
        <w:numId w:val="4"/>
      </w:numPr>
      <w:ind w:left="851" w:firstLine="0"/>
    </w:pPr>
  </w:style>
  <w:style w:type="paragraph" w:customStyle="1" w:styleId="44">
    <w:name w:val="样式3"/>
    <w:basedOn w:val="1"/>
    <w:qFormat/>
    <w:uiPriority w:val="0"/>
    <w:pPr>
      <w:numPr>
        <w:ilvl w:val="2"/>
        <w:numId w:val="4"/>
      </w:numPr>
      <w:ind w:left="1134" w:firstLine="0"/>
    </w:pPr>
  </w:style>
  <w:style w:type="paragraph" w:customStyle="1" w:styleId="45">
    <w:name w:val="备注"/>
    <w:basedOn w:val="1"/>
    <w:next w:val="1"/>
    <w:qFormat/>
    <w:uiPriority w:val="0"/>
    <w:pPr>
      <w:ind w:left="200" w:leftChars="200"/>
    </w:pPr>
    <w:rPr>
      <w:sz w:val="15"/>
      <w:szCs w:val="15"/>
    </w:rPr>
  </w:style>
  <w:style w:type="paragraph" w:customStyle="1" w:styleId="46">
    <w:name w:val="Char"/>
    <w:basedOn w:val="1"/>
    <w:qFormat/>
    <w:uiPriority w:val="0"/>
    <w:pPr>
      <w:widowControl/>
      <w:spacing w:after="160" w:line="360" w:lineRule="auto"/>
      <w:jc w:val="left"/>
    </w:pPr>
    <w:rPr>
      <w:rFonts w:ascii="Verdana" w:hAnsi="Verdana"/>
      <w:kern w:val="0"/>
      <w:sz w:val="24"/>
      <w:szCs w:val="20"/>
      <w:lang w:eastAsia="en-US"/>
    </w:rPr>
  </w:style>
  <w:style w:type="character" w:customStyle="1" w:styleId="47">
    <w:name w:val="style21"/>
    <w:basedOn w:val="27"/>
    <w:qFormat/>
    <w:uiPriority w:val="0"/>
    <w:rPr>
      <w:color w:val="0000FF"/>
    </w:rPr>
  </w:style>
  <w:style w:type="character" w:customStyle="1" w:styleId="48">
    <w:name w:val="c002"/>
    <w:basedOn w:val="27"/>
    <w:qFormat/>
    <w:uiPriority w:val="0"/>
    <w:rPr>
      <w:color w:val="CC0000"/>
    </w:rPr>
  </w:style>
  <w:style w:type="character" w:customStyle="1" w:styleId="49">
    <w:name w:val="searchbar1"/>
    <w:basedOn w:val="27"/>
    <w:qFormat/>
    <w:uiPriority w:val="0"/>
  </w:style>
  <w:style w:type="character" w:customStyle="1" w:styleId="50">
    <w:name w:val="f001"/>
    <w:basedOn w:val="27"/>
    <w:qFormat/>
    <w:uiPriority w:val="0"/>
    <w:rPr>
      <w:color w:val="FF0000"/>
    </w:rPr>
  </w:style>
  <w:style w:type="character" w:customStyle="1" w:styleId="51">
    <w:name w:val="style51"/>
    <w:basedOn w:val="27"/>
    <w:qFormat/>
    <w:uiPriority w:val="0"/>
    <w:rPr>
      <w:color w:val="0000FF"/>
    </w:rPr>
  </w:style>
  <w:style w:type="character" w:customStyle="1" w:styleId="52">
    <w:name w:val="批注框文本 字符"/>
    <w:basedOn w:val="27"/>
    <w:link w:val="15"/>
    <w:semiHidden/>
    <w:qFormat/>
    <w:uiPriority w:val="99"/>
    <w:rPr>
      <w:rFonts w:ascii="Arial" w:hAnsi="Arial" w:eastAsia="宋体" w:cs="Times New Roman"/>
      <w:sz w:val="18"/>
      <w:szCs w:val="18"/>
    </w:rPr>
  </w:style>
  <w:style w:type="paragraph" w:customStyle="1" w:styleId="53">
    <w:name w:val="TOC Heading"/>
    <w:basedOn w:val="2"/>
    <w:next w:val="1"/>
    <w:unhideWhenUsed/>
    <w:qFormat/>
    <w:uiPriority w:val="39"/>
    <w:pPr>
      <w:keepNext/>
      <w:keepLines/>
      <w:widowControl/>
      <w:numPr>
        <w:numId w:val="0"/>
      </w:numPr>
      <w:spacing w:line="276" w:lineRule="auto"/>
      <w:jc w:val="left"/>
      <w:outlineLvl w:val="9"/>
    </w:pPr>
    <w:rPr>
      <w:rFonts w:asciiTheme="majorHAnsi" w:hAnsiTheme="majorHAnsi" w:eastAsiaTheme="majorEastAsia" w:cstheme="majorBidi"/>
      <w:bCs/>
      <w:color w:val="366091" w:themeColor="accent1" w:themeShade="BF"/>
      <w:kern w:val="0"/>
      <w:sz w:val="28"/>
      <w:szCs w:val="28"/>
    </w:rPr>
  </w:style>
  <w:style w:type="paragraph" w:styleId="54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0" Type="http://schemas.openxmlformats.org/officeDocument/2006/relationships/fontTable" Target="fontTable.xml"/><Relationship Id="rId4" Type="http://schemas.openxmlformats.org/officeDocument/2006/relationships/header" Target="header2.xml"/><Relationship Id="rId39" Type="http://schemas.openxmlformats.org/officeDocument/2006/relationships/customXml" Target="../customXml/item2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image2.wdp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microsoft.com/office/2007/relationships/hdphoto" Target="media/image2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7"/>
    <customShpInfo spid="_x0000_s1028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143BAF9-E080-41FE-90EE-546169868C6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10</Pages>
  <Words>195</Words>
  <Characters>1112</Characters>
  <Lines>9</Lines>
  <Paragraphs>2</Paragraphs>
  <TotalTime>1</TotalTime>
  <ScaleCrop>false</ScaleCrop>
  <LinksUpToDate>false</LinksUpToDate>
  <CharactersWithSpaces>1305</CharactersWithSpaces>
  <Application>WPS Office_11.1.0.10069_F1E327BC-269C-435d-A152-05C5408002CA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2018-07-23T09:42:00Z</dcterms:created>
  <dc:creator>gxz</dc:creator>
  <cp:lastModifiedBy>Upādāna ~</cp:lastModifiedBy>
  <dcterms:modified xsi:type="dcterms:W3CDTF">2020-11-17T07:13:54Z</dcterms:modified>
  <cp:revision>937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2052-11.1.0.10069</vt:lpwstr>
  </property>
</Properties>
</file>